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BC" w:rsidRDefault="008F25B3" w:rsidP="00E233BC">
      <w:pPr>
        <w:spacing w:after="0"/>
        <w:ind w:right="998"/>
        <w:rPr>
          <w:rFonts w:asciiTheme="minorHAnsi" w:hAnsiTheme="minorHAnsi" w:cstheme="minorHAnsi"/>
          <w:b/>
          <w:color w:val="000000"/>
          <w:sz w:val="32"/>
          <w:szCs w:val="22"/>
          <w:lang w:val="es-ES" w:bidi="he-IL"/>
        </w:rPr>
      </w:pPr>
      <w:r>
        <w:rPr>
          <w:noProof/>
          <w:lang w:val="es-CL" w:eastAsia="es-CL"/>
        </w:rPr>
        <w:drawing>
          <wp:anchor distT="0" distB="0" distL="114300" distR="114300" simplePos="0" relativeHeight="251659264" behindDoc="0" locked="0" layoutInCell="1" allowOverlap="1" wp14:anchorId="56B84484" wp14:editId="76296945">
            <wp:simplePos x="0" y="0"/>
            <wp:positionH relativeFrom="column">
              <wp:posOffset>4229100</wp:posOffset>
            </wp:positionH>
            <wp:positionV relativeFrom="paragraph">
              <wp:posOffset>-828040</wp:posOffset>
            </wp:positionV>
            <wp:extent cx="1714500" cy="1285240"/>
            <wp:effectExtent l="0" t="0" r="12700" b="1016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1285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60288" behindDoc="0" locked="0" layoutInCell="1" allowOverlap="1" wp14:anchorId="04F74F31" wp14:editId="1EA5B909">
            <wp:simplePos x="0" y="0"/>
            <wp:positionH relativeFrom="column">
              <wp:posOffset>2381250</wp:posOffset>
            </wp:positionH>
            <wp:positionV relativeFrom="paragraph">
              <wp:posOffset>-800100</wp:posOffset>
            </wp:positionV>
            <wp:extent cx="1276350" cy="1276350"/>
            <wp:effectExtent l="0" t="0" r="0" b="0"/>
            <wp:wrapNone/>
            <wp:docPr id="4" name="Imagen 4" descr="C:\Users\Macarena San Martín\AppData\Local\Microsoft\Windows\INetCache\Content.MSO\F163BD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carena San Martín\AppData\Local\Microsoft\Windows\INetCache\Content.MSO\F163BD3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8240" behindDoc="0" locked="0" layoutInCell="1" allowOverlap="1" wp14:anchorId="6E003BCD" wp14:editId="1A031E29">
            <wp:simplePos x="0" y="0"/>
            <wp:positionH relativeFrom="column">
              <wp:posOffset>-8255</wp:posOffset>
            </wp:positionH>
            <wp:positionV relativeFrom="paragraph">
              <wp:posOffset>-457200</wp:posOffset>
            </wp:positionV>
            <wp:extent cx="1494155" cy="6946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415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57A" w:rsidRPr="002F2537">
        <w:rPr>
          <w:noProof/>
          <w:lang w:val="es-CL"/>
        </w:rPr>
        <w:t xml:space="preserve">   </w:t>
      </w:r>
      <w:r w:rsidR="00D60101" w:rsidRPr="002F2537">
        <w:rPr>
          <w:lang w:val="es-CL"/>
        </w:rPr>
        <w:t xml:space="preserve"> </w:t>
      </w:r>
      <w:r w:rsidR="00E7357A" w:rsidRPr="002F2537">
        <w:rPr>
          <w:noProof/>
          <w:lang w:val="es-CL"/>
        </w:rPr>
        <w:t xml:space="preserve">             </w:t>
      </w:r>
    </w:p>
    <w:p w:rsidR="00E233BC" w:rsidRDefault="00E233BC" w:rsidP="00C80039">
      <w:pPr>
        <w:spacing w:after="0"/>
        <w:ind w:left="1440" w:right="998"/>
        <w:jc w:val="center"/>
        <w:rPr>
          <w:rFonts w:asciiTheme="minorHAnsi" w:hAnsiTheme="minorHAnsi" w:cstheme="minorHAnsi"/>
          <w:b/>
          <w:color w:val="000000"/>
          <w:sz w:val="32"/>
          <w:szCs w:val="22"/>
          <w:lang w:val="es-ES" w:bidi="he-IL"/>
        </w:rPr>
      </w:pPr>
    </w:p>
    <w:p w:rsidR="008F25B3" w:rsidRDefault="008F25B3" w:rsidP="00C80039">
      <w:pPr>
        <w:spacing w:after="0"/>
        <w:ind w:left="1440" w:right="998"/>
        <w:jc w:val="center"/>
        <w:rPr>
          <w:rFonts w:asciiTheme="minorHAnsi" w:hAnsiTheme="minorHAnsi" w:cstheme="minorHAnsi"/>
          <w:b/>
          <w:color w:val="000000"/>
          <w:sz w:val="32"/>
          <w:szCs w:val="22"/>
          <w:lang w:val="es-ES" w:bidi="he-IL"/>
        </w:rPr>
      </w:pPr>
    </w:p>
    <w:p w:rsidR="008F25B3" w:rsidRDefault="008F25B3" w:rsidP="00C80039">
      <w:pPr>
        <w:spacing w:after="0"/>
        <w:ind w:left="1440" w:right="998"/>
        <w:jc w:val="center"/>
        <w:rPr>
          <w:rFonts w:asciiTheme="minorHAnsi" w:hAnsiTheme="minorHAnsi" w:cstheme="minorHAnsi"/>
          <w:b/>
          <w:color w:val="000000"/>
          <w:sz w:val="32"/>
          <w:szCs w:val="22"/>
          <w:lang w:val="es-ES" w:bidi="he-IL"/>
        </w:rPr>
      </w:pPr>
      <w:bookmarkStart w:id="0" w:name="_GoBack"/>
      <w:bookmarkEnd w:id="0"/>
    </w:p>
    <w:p w:rsidR="008F25B3" w:rsidRDefault="008F25B3" w:rsidP="00C80039">
      <w:pPr>
        <w:spacing w:after="0"/>
        <w:ind w:left="1440" w:right="998"/>
        <w:jc w:val="center"/>
        <w:rPr>
          <w:rFonts w:asciiTheme="minorHAnsi" w:hAnsiTheme="minorHAnsi" w:cstheme="minorHAnsi"/>
          <w:b/>
          <w:color w:val="000000"/>
          <w:sz w:val="32"/>
          <w:szCs w:val="22"/>
          <w:lang w:val="es-ES" w:bidi="he-IL"/>
        </w:rPr>
      </w:pPr>
    </w:p>
    <w:p w:rsidR="00867433" w:rsidRPr="00B61645" w:rsidRDefault="00867433" w:rsidP="00C80039">
      <w:pPr>
        <w:spacing w:after="0"/>
        <w:ind w:left="1440" w:right="998"/>
        <w:jc w:val="center"/>
        <w:rPr>
          <w:rFonts w:asciiTheme="minorHAnsi" w:hAnsiTheme="minorHAnsi" w:cstheme="minorHAnsi"/>
          <w:b/>
          <w:color w:val="000000"/>
          <w:sz w:val="32"/>
          <w:szCs w:val="22"/>
          <w:lang w:val="es-ES" w:bidi="he-IL"/>
        </w:rPr>
      </w:pPr>
      <w:r w:rsidRPr="00B61645">
        <w:rPr>
          <w:rFonts w:asciiTheme="minorHAnsi" w:hAnsiTheme="minorHAnsi" w:cstheme="minorHAnsi"/>
          <w:b/>
          <w:color w:val="000000"/>
          <w:sz w:val="32"/>
          <w:szCs w:val="22"/>
          <w:lang w:val="es-ES" w:bidi="he-IL"/>
        </w:rPr>
        <w:t xml:space="preserve">CHILE SE CONVIERTE EN UN POLO ATRACTIVO PARA LA </w:t>
      </w:r>
      <w:r w:rsidR="00122DC2" w:rsidRPr="00B61645">
        <w:rPr>
          <w:rFonts w:asciiTheme="minorHAnsi" w:hAnsiTheme="minorHAnsi" w:cstheme="minorHAnsi"/>
          <w:b/>
          <w:color w:val="000000"/>
          <w:sz w:val="32"/>
          <w:szCs w:val="22"/>
          <w:lang w:val="es-ES" w:bidi="he-IL"/>
        </w:rPr>
        <w:t>INDUSTRIA BIOFARMAC</w:t>
      </w:r>
      <w:r w:rsidR="00C91BA6" w:rsidRPr="00B61645">
        <w:rPr>
          <w:rFonts w:asciiTheme="minorHAnsi" w:hAnsiTheme="minorHAnsi" w:cstheme="minorHAnsi"/>
          <w:b/>
          <w:color w:val="000000"/>
          <w:sz w:val="32"/>
          <w:szCs w:val="22"/>
          <w:lang w:val="es-ES" w:bidi="he-IL"/>
        </w:rPr>
        <w:t>É</w:t>
      </w:r>
      <w:r w:rsidR="00122DC2" w:rsidRPr="00B61645">
        <w:rPr>
          <w:rFonts w:asciiTheme="minorHAnsi" w:hAnsiTheme="minorHAnsi" w:cstheme="minorHAnsi"/>
          <w:b/>
          <w:color w:val="000000"/>
          <w:sz w:val="32"/>
          <w:szCs w:val="22"/>
          <w:lang w:val="es-ES" w:bidi="he-IL"/>
        </w:rPr>
        <w:t xml:space="preserve">UTICA Y LA </w:t>
      </w:r>
      <w:r w:rsidRPr="00B61645">
        <w:rPr>
          <w:rFonts w:asciiTheme="minorHAnsi" w:hAnsiTheme="minorHAnsi" w:cstheme="minorHAnsi"/>
          <w:b/>
          <w:color w:val="000000"/>
          <w:sz w:val="32"/>
          <w:szCs w:val="22"/>
          <w:lang w:val="es-ES" w:bidi="he-IL"/>
        </w:rPr>
        <w:t>INVESTIGACIÓN CLÍNICA A NIVEL MUNDIAL</w:t>
      </w:r>
    </w:p>
    <w:p w:rsidR="00FA0174" w:rsidRPr="00C91BA6" w:rsidRDefault="00FA0174" w:rsidP="00C80039">
      <w:pPr>
        <w:spacing w:after="0"/>
        <w:jc w:val="center"/>
        <w:rPr>
          <w:rFonts w:asciiTheme="minorHAnsi" w:hAnsiTheme="minorHAnsi" w:cstheme="minorHAnsi"/>
          <w:sz w:val="22"/>
          <w:szCs w:val="22"/>
          <w:lang w:val="es-ES"/>
        </w:rPr>
      </w:pPr>
    </w:p>
    <w:p w:rsidR="00867433" w:rsidRPr="00B61645" w:rsidRDefault="00867433" w:rsidP="00B61645">
      <w:pPr>
        <w:spacing w:after="0" w:line="276" w:lineRule="auto"/>
        <w:ind w:right="49"/>
        <w:jc w:val="center"/>
        <w:rPr>
          <w:rFonts w:asciiTheme="minorHAnsi" w:hAnsiTheme="minorHAnsi" w:cstheme="minorHAnsi"/>
          <w:b/>
          <w:color w:val="000000"/>
          <w:sz w:val="22"/>
          <w:szCs w:val="22"/>
          <w:lang w:val="es-ES" w:bidi="he-IL"/>
        </w:rPr>
      </w:pPr>
      <w:r w:rsidRPr="00B61645">
        <w:rPr>
          <w:rFonts w:asciiTheme="minorHAnsi" w:hAnsiTheme="minorHAnsi" w:cstheme="minorHAnsi"/>
          <w:b/>
          <w:color w:val="000000"/>
          <w:sz w:val="22"/>
          <w:szCs w:val="22"/>
          <w:lang w:val="es-ES" w:bidi="he-IL"/>
        </w:rPr>
        <w:t xml:space="preserve">Estudio 2017 sobre Inversión y Competitividad en Biomedicina, patrocinado por PhRMA y FIFARMA, demostró que los países latinoamericanos podrían aumentar sustancialmente el nivel de inversión en la materia y </w:t>
      </w:r>
      <w:r w:rsidR="00EF381E" w:rsidRPr="00B61645">
        <w:rPr>
          <w:rFonts w:asciiTheme="minorHAnsi" w:hAnsiTheme="minorHAnsi" w:cstheme="minorHAnsi"/>
          <w:b/>
          <w:color w:val="000000"/>
          <w:sz w:val="22"/>
          <w:szCs w:val="22"/>
          <w:lang w:val="es-ES" w:bidi="he-IL"/>
        </w:rPr>
        <w:t xml:space="preserve">que </w:t>
      </w:r>
      <w:r w:rsidRPr="00B61645">
        <w:rPr>
          <w:rFonts w:asciiTheme="minorHAnsi" w:hAnsiTheme="minorHAnsi" w:cstheme="minorHAnsi"/>
          <w:b/>
          <w:color w:val="000000"/>
          <w:sz w:val="22"/>
          <w:szCs w:val="22"/>
          <w:lang w:val="es-ES" w:bidi="he-IL"/>
        </w:rPr>
        <w:t>el país líder en la región es Chile.</w:t>
      </w:r>
    </w:p>
    <w:p w:rsidR="00867433" w:rsidRPr="00C91BA6" w:rsidRDefault="00867433" w:rsidP="00C91BA6">
      <w:pPr>
        <w:spacing w:line="276" w:lineRule="auto"/>
        <w:rPr>
          <w:rFonts w:asciiTheme="minorHAnsi" w:hAnsiTheme="minorHAnsi" w:cstheme="minorHAnsi"/>
          <w:sz w:val="22"/>
          <w:szCs w:val="22"/>
          <w:lang w:val="es-ES"/>
        </w:rPr>
      </w:pPr>
    </w:p>
    <w:p w:rsidR="00867433" w:rsidRPr="000A2B8C" w:rsidRDefault="00867433" w:rsidP="00E233BC">
      <w:pPr>
        <w:spacing w:after="0"/>
        <w:rPr>
          <w:rFonts w:asciiTheme="minorHAnsi" w:hAnsiTheme="minorHAnsi" w:cstheme="minorHAnsi"/>
          <w:color w:val="000000"/>
          <w:sz w:val="22"/>
          <w:szCs w:val="22"/>
          <w:lang w:val="es-ES" w:bidi="he-IL"/>
        </w:rPr>
      </w:pPr>
      <w:r w:rsidRPr="000A2B8C">
        <w:rPr>
          <w:rFonts w:asciiTheme="minorHAnsi" w:hAnsiTheme="minorHAnsi" w:cstheme="minorHAnsi"/>
          <w:sz w:val="22"/>
          <w:szCs w:val="22"/>
          <w:lang w:val="es-CL"/>
        </w:rPr>
        <w:t xml:space="preserve">En un encuentro organizado por la Cámara de la Innovación Farmacéutica de Chile, (CIF) se presentó el estudio </w:t>
      </w:r>
      <w:r w:rsidRPr="00C80039">
        <w:rPr>
          <w:rFonts w:asciiTheme="minorHAnsi" w:hAnsiTheme="minorHAnsi" w:cstheme="minorHAnsi"/>
          <w:i/>
          <w:sz w:val="22"/>
          <w:szCs w:val="22"/>
          <w:lang w:val="es-CL"/>
        </w:rPr>
        <w:t>Biopharmaceutical</w:t>
      </w:r>
      <w:r w:rsidR="00122DC2" w:rsidRPr="00C80039">
        <w:rPr>
          <w:rFonts w:asciiTheme="minorHAnsi" w:hAnsiTheme="minorHAnsi" w:cstheme="minorHAnsi"/>
          <w:i/>
          <w:sz w:val="22"/>
          <w:szCs w:val="22"/>
          <w:lang w:val="es-CL"/>
        </w:rPr>
        <w:t xml:space="preserve"> </w:t>
      </w:r>
      <w:r w:rsidRPr="00C80039">
        <w:rPr>
          <w:rFonts w:asciiTheme="minorHAnsi" w:hAnsiTheme="minorHAnsi" w:cstheme="minorHAnsi"/>
          <w:i/>
          <w:sz w:val="22"/>
          <w:szCs w:val="22"/>
          <w:lang w:val="es-CL"/>
        </w:rPr>
        <w:t>Competitiveness</w:t>
      </w:r>
      <w:r w:rsidR="00C80039" w:rsidRPr="00C80039">
        <w:rPr>
          <w:rFonts w:asciiTheme="minorHAnsi" w:hAnsiTheme="minorHAnsi" w:cstheme="minorHAnsi"/>
          <w:i/>
          <w:sz w:val="22"/>
          <w:szCs w:val="22"/>
          <w:lang w:val="es-CL"/>
        </w:rPr>
        <w:t xml:space="preserve"> and </w:t>
      </w:r>
      <w:r w:rsidRPr="00C80039">
        <w:rPr>
          <w:rFonts w:asciiTheme="minorHAnsi" w:hAnsiTheme="minorHAnsi" w:cstheme="minorHAnsi"/>
          <w:i/>
          <w:sz w:val="22"/>
          <w:szCs w:val="22"/>
          <w:lang w:val="es-CL"/>
        </w:rPr>
        <w:t>Investment (BCI) Survey</w:t>
      </w:r>
      <w:r w:rsidR="00122DC2" w:rsidRPr="00C80039">
        <w:rPr>
          <w:rFonts w:asciiTheme="minorHAnsi" w:hAnsiTheme="minorHAnsi" w:cstheme="minorHAnsi"/>
          <w:i/>
          <w:sz w:val="22"/>
          <w:szCs w:val="22"/>
          <w:lang w:val="es-CL"/>
        </w:rPr>
        <w:t xml:space="preserve"> </w:t>
      </w:r>
      <w:r w:rsidRPr="00C80039">
        <w:rPr>
          <w:rFonts w:asciiTheme="minorHAnsi" w:hAnsiTheme="minorHAnsi" w:cstheme="minorHAnsi"/>
          <w:i/>
          <w:sz w:val="22"/>
          <w:szCs w:val="22"/>
          <w:lang w:val="es-CL"/>
        </w:rPr>
        <w:t xml:space="preserve">2017 </w:t>
      </w:r>
      <w:r w:rsidRPr="000A2B8C">
        <w:rPr>
          <w:rFonts w:asciiTheme="minorHAnsi" w:hAnsiTheme="minorHAnsi" w:cstheme="minorHAnsi"/>
          <w:sz w:val="22"/>
          <w:szCs w:val="22"/>
          <w:lang w:val="es-CL"/>
        </w:rPr>
        <w:t xml:space="preserve">que analiza, </w:t>
      </w:r>
      <w:r w:rsidR="00C80039">
        <w:rPr>
          <w:rFonts w:asciiTheme="minorHAnsi" w:hAnsiTheme="minorHAnsi" w:cstheme="minorHAnsi"/>
          <w:sz w:val="22"/>
          <w:szCs w:val="22"/>
          <w:lang w:val="es-CL"/>
        </w:rPr>
        <w:t>con</w:t>
      </w:r>
      <w:r w:rsidRPr="000A2B8C">
        <w:rPr>
          <w:rFonts w:asciiTheme="minorHAnsi" w:hAnsiTheme="minorHAnsi" w:cstheme="minorHAnsi"/>
          <w:sz w:val="22"/>
          <w:szCs w:val="22"/>
          <w:lang w:val="es-CL"/>
        </w:rPr>
        <w:t xml:space="preserve"> base </w:t>
      </w:r>
      <w:r w:rsidR="00C80039">
        <w:rPr>
          <w:rFonts w:asciiTheme="minorHAnsi" w:hAnsiTheme="minorHAnsi" w:cstheme="minorHAnsi"/>
          <w:sz w:val="22"/>
          <w:szCs w:val="22"/>
          <w:lang w:val="es-CL"/>
        </w:rPr>
        <w:t>en</w:t>
      </w:r>
      <w:r w:rsidRPr="000A2B8C">
        <w:rPr>
          <w:rFonts w:asciiTheme="minorHAnsi" w:hAnsiTheme="minorHAnsi" w:cstheme="minorHAnsi"/>
          <w:sz w:val="22"/>
          <w:szCs w:val="22"/>
          <w:lang w:val="es-CL"/>
        </w:rPr>
        <w:t xml:space="preserve"> la opinión de </w:t>
      </w:r>
      <w:r w:rsidRPr="000A2B8C">
        <w:rPr>
          <w:rFonts w:asciiTheme="minorHAnsi" w:hAnsiTheme="minorHAnsi" w:cstheme="minorHAnsi"/>
          <w:color w:val="000000"/>
          <w:sz w:val="22"/>
          <w:szCs w:val="22"/>
          <w:lang w:val="es-ES" w:bidi="he-IL"/>
        </w:rPr>
        <w:t>500 ejecutivos de las principales multinacionales que operan tanto en economías desarrolladas como emergentes</w:t>
      </w:r>
      <w:r w:rsidRPr="000A2B8C">
        <w:rPr>
          <w:rFonts w:asciiTheme="minorHAnsi" w:hAnsiTheme="minorHAnsi" w:cstheme="minorHAnsi"/>
          <w:sz w:val="22"/>
          <w:szCs w:val="22"/>
          <w:lang w:val="es-CL"/>
        </w:rPr>
        <w:t>, el grado de atractivo y competitividad para el desarrollo de la industria biofarmacéutica</w:t>
      </w:r>
      <w:r w:rsidR="00A64D5C" w:rsidRPr="000A2B8C">
        <w:rPr>
          <w:rFonts w:asciiTheme="minorHAnsi" w:hAnsiTheme="minorHAnsi" w:cstheme="minorHAnsi"/>
          <w:sz w:val="22"/>
          <w:szCs w:val="22"/>
          <w:lang w:val="es-CL"/>
        </w:rPr>
        <w:t xml:space="preserve">, </w:t>
      </w:r>
      <w:r w:rsidR="00A64D5C" w:rsidRPr="000A2B8C">
        <w:rPr>
          <w:rFonts w:asciiTheme="minorHAnsi" w:hAnsiTheme="minorHAnsi" w:cstheme="minorHAnsi"/>
          <w:color w:val="000000"/>
          <w:sz w:val="22"/>
          <w:szCs w:val="22"/>
          <w:lang w:val="es-ES" w:bidi="he-IL"/>
        </w:rPr>
        <w:t>midiendo el grado de confianza que ellos tienen en 5 áreas – que incluyen el grado de sofisticación de la infraestructura local de investigación y desarrollo, capacidades regulatorias, protección de propiedad intelectual y dinámicas de mercado – y traduciéndolo en un puntaje cuantitativo.</w:t>
      </w:r>
    </w:p>
    <w:p w:rsidR="00A64D5C" w:rsidRPr="000A2B8C" w:rsidRDefault="00A64D5C" w:rsidP="00E233BC">
      <w:pPr>
        <w:spacing w:after="0"/>
        <w:ind w:right="49"/>
        <w:rPr>
          <w:rFonts w:asciiTheme="minorHAnsi" w:hAnsiTheme="minorHAnsi" w:cstheme="minorHAnsi"/>
          <w:sz w:val="22"/>
          <w:szCs w:val="22"/>
          <w:lang w:val="es-CL"/>
        </w:rPr>
      </w:pPr>
    </w:p>
    <w:p w:rsidR="00A64D5C" w:rsidRPr="000A2B8C" w:rsidRDefault="00867433" w:rsidP="00E233BC">
      <w:pPr>
        <w:spacing w:after="0"/>
        <w:ind w:right="49"/>
        <w:rPr>
          <w:rFonts w:asciiTheme="minorHAnsi" w:hAnsiTheme="minorHAnsi" w:cstheme="minorHAnsi"/>
          <w:sz w:val="22"/>
          <w:szCs w:val="22"/>
          <w:lang w:val="es-CL"/>
        </w:rPr>
      </w:pPr>
      <w:r w:rsidRPr="000A2B8C">
        <w:rPr>
          <w:rFonts w:asciiTheme="minorHAnsi" w:hAnsiTheme="minorHAnsi" w:cstheme="minorHAnsi"/>
          <w:sz w:val="22"/>
          <w:szCs w:val="22"/>
          <w:lang w:val="es-CL"/>
        </w:rPr>
        <w:t xml:space="preserve">El </w:t>
      </w:r>
      <w:r w:rsidRPr="000A2B8C">
        <w:rPr>
          <w:rFonts w:asciiTheme="minorHAnsi" w:hAnsiTheme="minorHAnsi" w:cstheme="minorHAnsi"/>
          <w:i/>
          <w:sz w:val="22"/>
          <w:szCs w:val="22"/>
          <w:lang w:val="es-CL"/>
        </w:rPr>
        <w:t>BCI Survey</w:t>
      </w:r>
      <w:r w:rsidRPr="000A2B8C">
        <w:rPr>
          <w:rFonts w:asciiTheme="minorHAnsi" w:hAnsiTheme="minorHAnsi" w:cstheme="minorHAnsi"/>
          <w:sz w:val="22"/>
          <w:szCs w:val="22"/>
          <w:lang w:val="es-CL"/>
        </w:rPr>
        <w:t xml:space="preserve"> o Encuesta de Competitividad e Inversión Farmacéutica 2017, elaborado por la consultora internacional </w:t>
      </w:r>
      <w:r w:rsidRPr="000A2B8C">
        <w:rPr>
          <w:rFonts w:asciiTheme="minorHAnsi" w:hAnsiTheme="minorHAnsi" w:cstheme="minorHAnsi"/>
          <w:i/>
          <w:sz w:val="22"/>
          <w:szCs w:val="22"/>
          <w:lang w:val="es-CL"/>
        </w:rPr>
        <w:t>Pugatch</w:t>
      </w:r>
      <w:r w:rsidR="005401D0" w:rsidRPr="000A2B8C">
        <w:rPr>
          <w:rFonts w:asciiTheme="minorHAnsi" w:hAnsiTheme="minorHAnsi" w:cstheme="minorHAnsi"/>
          <w:i/>
          <w:sz w:val="22"/>
          <w:szCs w:val="22"/>
          <w:lang w:val="es-CL"/>
        </w:rPr>
        <w:t xml:space="preserve"> </w:t>
      </w:r>
      <w:r w:rsidRPr="000A2B8C">
        <w:rPr>
          <w:rFonts w:asciiTheme="minorHAnsi" w:hAnsiTheme="minorHAnsi" w:cstheme="minorHAnsi"/>
          <w:i/>
          <w:sz w:val="22"/>
          <w:szCs w:val="22"/>
          <w:lang w:val="es-CL"/>
        </w:rPr>
        <w:t>Consilium</w:t>
      </w:r>
      <w:r w:rsidRPr="000A2B8C">
        <w:rPr>
          <w:rFonts w:asciiTheme="minorHAnsi" w:hAnsiTheme="minorHAnsi" w:cstheme="minorHAnsi"/>
          <w:sz w:val="22"/>
          <w:szCs w:val="22"/>
          <w:lang w:val="es-CL"/>
        </w:rPr>
        <w:t>, por encargo de PhRMA</w:t>
      </w:r>
      <w:r w:rsidR="00C80039">
        <w:rPr>
          <w:rFonts w:asciiTheme="minorHAnsi" w:hAnsiTheme="minorHAnsi" w:cstheme="minorHAnsi"/>
          <w:sz w:val="22"/>
          <w:szCs w:val="22"/>
          <w:lang w:val="es-CL"/>
        </w:rPr>
        <w:t xml:space="preserve"> </w:t>
      </w:r>
      <w:r w:rsidRPr="000A2B8C">
        <w:rPr>
          <w:rFonts w:asciiTheme="minorHAnsi" w:hAnsiTheme="minorHAnsi" w:cstheme="minorHAnsi"/>
          <w:sz w:val="22"/>
          <w:szCs w:val="22"/>
          <w:lang w:val="es-CL"/>
        </w:rPr>
        <w:t xml:space="preserve">y FIFARMA, evaluó 31 de los mercados farmacéuticos más grandes y activos del mundo, cinco de ellos en América Latina. En su 4ª versión, incluyó por primera vez a Chile, país que alcanza una ubicación muy destacada dentro del grupo de mercados emergentes, siendo solo precedido por Singapur, Israel, Taiwán y Corea, y liderando posiciones en Latinoamérica. </w:t>
      </w:r>
    </w:p>
    <w:p w:rsidR="00867433" w:rsidRPr="000A2B8C" w:rsidRDefault="00867433" w:rsidP="00E233BC">
      <w:pPr>
        <w:spacing w:after="0"/>
        <w:ind w:right="49"/>
        <w:rPr>
          <w:rFonts w:asciiTheme="minorHAnsi" w:hAnsiTheme="minorHAnsi" w:cstheme="minorHAnsi"/>
          <w:sz w:val="22"/>
          <w:szCs w:val="22"/>
          <w:lang w:val="es-CL"/>
        </w:rPr>
      </w:pPr>
    </w:p>
    <w:p w:rsidR="00867433" w:rsidRPr="000A2B8C" w:rsidRDefault="00867433" w:rsidP="00E233BC">
      <w:pPr>
        <w:spacing w:after="0"/>
        <w:ind w:right="49"/>
        <w:rPr>
          <w:rFonts w:asciiTheme="minorHAnsi" w:hAnsiTheme="minorHAnsi" w:cstheme="minorHAnsi"/>
          <w:sz w:val="22"/>
          <w:szCs w:val="22"/>
          <w:lang w:val="es-ES"/>
        </w:rPr>
      </w:pPr>
      <w:r w:rsidRPr="000A2B8C">
        <w:rPr>
          <w:rFonts w:asciiTheme="minorHAnsi" w:hAnsiTheme="minorHAnsi" w:cstheme="minorHAnsi"/>
          <w:color w:val="000000"/>
          <w:sz w:val="22"/>
          <w:szCs w:val="22"/>
          <w:lang w:val="es-ES" w:bidi="he-IL"/>
        </w:rPr>
        <w:t>Las tres economías emergentes que clasificaron en el tope – Singapur, Israel y Taiwán – tienen puntajes de cerca de 80% o más.  Lo que los distingue del resto de las economías emergentes, según los ejecutivos entrevistados, son sus entornos de políticas y normativas que propician la innovación, con sistemas regulatorios y de protección a la propiedad intelectual a la par de los estándares internacionales más elevados, y con un acceso a mercado relativamente abierto</w:t>
      </w:r>
      <w:r w:rsidRPr="000A2B8C">
        <w:rPr>
          <w:rFonts w:asciiTheme="minorHAnsi" w:hAnsiTheme="minorHAnsi" w:cstheme="minorHAnsi"/>
          <w:sz w:val="22"/>
          <w:szCs w:val="22"/>
          <w:lang w:val="es-ES"/>
        </w:rPr>
        <w:t>.</w:t>
      </w:r>
    </w:p>
    <w:p w:rsidR="00867433" w:rsidRPr="000A2B8C" w:rsidRDefault="00867433" w:rsidP="00E233BC">
      <w:pPr>
        <w:spacing w:after="0"/>
        <w:ind w:right="49"/>
        <w:rPr>
          <w:rFonts w:asciiTheme="minorHAnsi" w:hAnsiTheme="minorHAnsi" w:cstheme="minorHAnsi"/>
          <w:color w:val="000000"/>
          <w:sz w:val="22"/>
          <w:szCs w:val="22"/>
          <w:lang w:val="es-ES" w:bidi="he-IL"/>
        </w:rPr>
      </w:pPr>
    </w:p>
    <w:p w:rsidR="00867433" w:rsidRPr="000A2B8C" w:rsidRDefault="00867433" w:rsidP="00E233BC">
      <w:pPr>
        <w:spacing w:after="0"/>
        <w:ind w:right="49"/>
        <w:rPr>
          <w:rFonts w:asciiTheme="minorHAnsi" w:hAnsiTheme="minorHAnsi" w:cstheme="minorHAnsi"/>
          <w:i/>
          <w:color w:val="000000"/>
          <w:sz w:val="22"/>
          <w:szCs w:val="22"/>
          <w:lang w:val="es-ES" w:bidi="he-IL"/>
        </w:rPr>
      </w:pPr>
      <w:r w:rsidRPr="000A2B8C">
        <w:rPr>
          <w:rFonts w:asciiTheme="minorHAnsi" w:hAnsiTheme="minorHAnsi" w:cstheme="minorHAnsi"/>
          <w:i/>
          <w:color w:val="000000"/>
          <w:sz w:val="22"/>
          <w:szCs w:val="22"/>
          <w:lang w:val="es-ES" w:bidi="he-IL"/>
        </w:rPr>
        <w:t>“El estudio reafirma que el entorno normativo importa</w:t>
      </w:r>
      <w:r w:rsidRPr="000A2B8C">
        <w:rPr>
          <w:rFonts w:asciiTheme="minorHAnsi" w:hAnsiTheme="minorHAnsi" w:cstheme="minorHAnsi"/>
          <w:color w:val="000000"/>
          <w:sz w:val="22"/>
          <w:szCs w:val="22"/>
          <w:lang w:val="es-ES" w:bidi="he-IL"/>
        </w:rPr>
        <w:t xml:space="preserve">”, </w:t>
      </w:r>
      <w:r w:rsidR="00C80039">
        <w:rPr>
          <w:rFonts w:asciiTheme="minorHAnsi" w:hAnsiTheme="minorHAnsi" w:cstheme="minorHAnsi"/>
          <w:color w:val="000000"/>
          <w:sz w:val="22"/>
          <w:szCs w:val="22"/>
          <w:lang w:val="es-ES" w:bidi="he-IL"/>
        </w:rPr>
        <w:t xml:space="preserve">indicó el especialista </w:t>
      </w:r>
      <w:r w:rsidR="00C80039" w:rsidRPr="00C80039">
        <w:rPr>
          <w:rFonts w:asciiTheme="minorHAnsi" w:hAnsiTheme="minorHAnsi" w:cstheme="minorHAnsi"/>
          <w:b/>
          <w:color w:val="000000"/>
          <w:sz w:val="22"/>
          <w:szCs w:val="22"/>
          <w:lang w:val="es-ES" w:bidi="he-IL"/>
        </w:rPr>
        <w:t>Daniel Coriat</w:t>
      </w:r>
      <w:r w:rsidR="00C80039">
        <w:rPr>
          <w:rFonts w:asciiTheme="minorHAnsi" w:hAnsiTheme="minorHAnsi" w:cstheme="minorHAnsi"/>
          <w:color w:val="000000"/>
          <w:sz w:val="22"/>
          <w:szCs w:val="22"/>
          <w:lang w:val="es-ES" w:bidi="he-IL"/>
        </w:rPr>
        <w:t>,</w:t>
      </w:r>
      <w:r w:rsidRPr="000A2B8C">
        <w:rPr>
          <w:rFonts w:asciiTheme="minorHAnsi" w:hAnsiTheme="minorHAnsi" w:cstheme="minorHAnsi"/>
          <w:color w:val="000000"/>
          <w:sz w:val="22"/>
          <w:szCs w:val="22"/>
          <w:lang w:val="es-ES" w:bidi="he-IL"/>
        </w:rPr>
        <w:t xml:space="preserve"> </w:t>
      </w:r>
      <w:r w:rsidR="00C80039" w:rsidRPr="000A2B8C">
        <w:rPr>
          <w:rFonts w:asciiTheme="minorHAnsi" w:hAnsiTheme="minorHAnsi" w:cstheme="minorHAnsi"/>
          <w:color w:val="000000"/>
          <w:sz w:val="22"/>
          <w:szCs w:val="22"/>
          <w:lang w:val="es-ES" w:bidi="he-IL"/>
        </w:rPr>
        <w:t>director</w:t>
      </w:r>
      <w:r w:rsidRPr="000A2B8C">
        <w:rPr>
          <w:rFonts w:asciiTheme="minorHAnsi" w:hAnsiTheme="minorHAnsi" w:cstheme="minorHAnsi"/>
          <w:color w:val="000000"/>
          <w:sz w:val="22"/>
          <w:szCs w:val="22"/>
          <w:lang w:val="es-ES" w:bidi="he-IL"/>
        </w:rPr>
        <w:t xml:space="preserve"> de Pugatch</w:t>
      </w:r>
      <w:r w:rsidR="00C80039">
        <w:rPr>
          <w:rFonts w:asciiTheme="minorHAnsi" w:hAnsiTheme="minorHAnsi" w:cstheme="minorHAnsi"/>
          <w:color w:val="000000"/>
          <w:sz w:val="22"/>
          <w:szCs w:val="22"/>
          <w:lang w:val="es-ES" w:bidi="he-IL"/>
        </w:rPr>
        <w:t xml:space="preserve"> </w:t>
      </w:r>
      <w:r w:rsidR="00C80039" w:rsidRPr="000A2B8C">
        <w:rPr>
          <w:rFonts w:asciiTheme="minorHAnsi" w:hAnsiTheme="minorHAnsi" w:cstheme="minorHAnsi"/>
          <w:color w:val="000000"/>
          <w:sz w:val="22"/>
          <w:szCs w:val="22"/>
          <w:lang w:val="es-ES" w:bidi="he-IL"/>
        </w:rPr>
        <w:t>Consilium. “</w:t>
      </w:r>
      <w:r w:rsidRPr="000A2B8C">
        <w:rPr>
          <w:rFonts w:asciiTheme="minorHAnsi" w:hAnsiTheme="minorHAnsi" w:cstheme="minorHAnsi"/>
          <w:i/>
          <w:color w:val="000000"/>
          <w:sz w:val="22"/>
          <w:szCs w:val="22"/>
          <w:lang w:val="es-ES" w:bidi="he-IL"/>
        </w:rPr>
        <w:t xml:space="preserve">El índice no solo revela cuales economías son más o menos competitivas en el sector </w:t>
      </w:r>
      <w:r w:rsidR="00220056" w:rsidRPr="000A2B8C">
        <w:rPr>
          <w:rFonts w:asciiTheme="minorHAnsi" w:hAnsiTheme="minorHAnsi" w:cstheme="minorHAnsi"/>
          <w:i/>
          <w:color w:val="000000"/>
          <w:sz w:val="22"/>
          <w:szCs w:val="22"/>
          <w:lang w:val="es-ES" w:bidi="he-IL"/>
        </w:rPr>
        <w:t>bio</w:t>
      </w:r>
      <w:r w:rsidRPr="000A2B8C">
        <w:rPr>
          <w:rFonts w:asciiTheme="minorHAnsi" w:hAnsiTheme="minorHAnsi" w:cstheme="minorHAnsi"/>
          <w:i/>
          <w:color w:val="000000"/>
          <w:sz w:val="22"/>
          <w:szCs w:val="22"/>
          <w:lang w:val="es-ES" w:bidi="he-IL"/>
        </w:rPr>
        <w:t xml:space="preserve">farmacéutico, sino que también provee fórmulas para crear entornos atractivos a la inversión extranjera.  Los mercados que han implementado políticas económicas y normativas favorables al sector farmacéutico en las 5 áreas cubiertas por el BCI – como por ejemplo Singapur que ha tenido en los últimos años progresos significativos especialmente en las áreas regulatorias y de protección a la propiedad intelectual y con un puntaje de 87% en el índice </w:t>
      </w:r>
      <w:r w:rsidRPr="000A2B8C">
        <w:rPr>
          <w:rFonts w:asciiTheme="minorHAnsi" w:hAnsiTheme="minorHAnsi" w:cstheme="minorHAnsi"/>
          <w:i/>
          <w:color w:val="000000"/>
          <w:sz w:val="22"/>
          <w:szCs w:val="22"/>
          <w:lang w:val="es-ES" w:bidi="he-IL"/>
        </w:rPr>
        <w:lastRenderedPageBreak/>
        <w:t>del BCI – han hecho que los ejecutivos que operan localmente tengan un alto grado de confianza y sean propensos a expandir sus operaciones, a pesar del tamaño reducido de estas economías.”</w:t>
      </w:r>
    </w:p>
    <w:p w:rsidR="00867433" w:rsidRPr="000A2B8C" w:rsidRDefault="00867433" w:rsidP="00E233BC">
      <w:pPr>
        <w:spacing w:after="0"/>
        <w:rPr>
          <w:rFonts w:asciiTheme="minorHAnsi" w:hAnsiTheme="minorHAnsi" w:cstheme="minorHAnsi"/>
          <w:i/>
          <w:color w:val="000000"/>
          <w:sz w:val="22"/>
          <w:szCs w:val="22"/>
          <w:lang w:val="es-ES" w:bidi="he-IL"/>
        </w:rPr>
      </w:pPr>
    </w:p>
    <w:p w:rsidR="00867433" w:rsidRPr="000A2B8C" w:rsidRDefault="00867433" w:rsidP="00E233BC">
      <w:pPr>
        <w:spacing w:after="0"/>
        <w:ind w:left="-284" w:right="998"/>
        <w:rPr>
          <w:rFonts w:asciiTheme="minorHAnsi" w:hAnsiTheme="minorHAnsi" w:cstheme="minorHAnsi"/>
          <w:b/>
          <w:sz w:val="22"/>
          <w:szCs w:val="22"/>
          <w:lang w:val="es-ES"/>
        </w:rPr>
      </w:pPr>
    </w:p>
    <w:p w:rsidR="00C80039" w:rsidRDefault="00C80039" w:rsidP="00E233BC">
      <w:pPr>
        <w:spacing w:after="0"/>
        <w:ind w:left="-284" w:right="998"/>
        <w:rPr>
          <w:rFonts w:asciiTheme="minorHAnsi" w:hAnsiTheme="minorHAnsi" w:cstheme="minorHAnsi"/>
          <w:b/>
          <w:sz w:val="22"/>
          <w:szCs w:val="22"/>
          <w:lang w:val="es-ES"/>
        </w:rPr>
      </w:pPr>
    </w:p>
    <w:p w:rsidR="00867433" w:rsidRPr="000A2B8C" w:rsidRDefault="00220056" w:rsidP="00E233BC">
      <w:pPr>
        <w:spacing w:after="0"/>
        <w:ind w:left="-284" w:right="998"/>
        <w:rPr>
          <w:rFonts w:asciiTheme="minorHAnsi" w:hAnsiTheme="minorHAnsi" w:cstheme="minorHAnsi"/>
          <w:b/>
          <w:sz w:val="22"/>
          <w:szCs w:val="22"/>
          <w:lang w:val="es-ES"/>
        </w:rPr>
      </w:pPr>
      <w:r w:rsidRPr="000A2B8C">
        <w:rPr>
          <w:rFonts w:asciiTheme="minorHAnsi" w:hAnsiTheme="minorHAnsi" w:cstheme="minorHAnsi"/>
          <w:b/>
          <w:sz w:val="22"/>
          <w:szCs w:val="22"/>
          <w:lang w:val="es-ES"/>
        </w:rPr>
        <w:t xml:space="preserve">Chile y </w:t>
      </w:r>
      <w:r w:rsidR="00867433" w:rsidRPr="000A2B8C">
        <w:rPr>
          <w:rFonts w:asciiTheme="minorHAnsi" w:hAnsiTheme="minorHAnsi" w:cstheme="minorHAnsi"/>
          <w:b/>
          <w:sz w:val="22"/>
          <w:szCs w:val="22"/>
          <w:lang w:val="es-ES"/>
        </w:rPr>
        <w:t>América Latina en el ranking</w:t>
      </w:r>
    </w:p>
    <w:p w:rsidR="00867433" w:rsidRPr="000A2B8C" w:rsidRDefault="002F2537" w:rsidP="00E233BC">
      <w:pPr>
        <w:spacing w:after="0"/>
        <w:ind w:left="-284"/>
        <w:rPr>
          <w:rFonts w:asciiTheme="minorHAnsi" w:hAnsiTheme="minorHAnsi" w:cstheme="minorHAnsi"/>
          <w:color w:val="000000"/>
          <w:sz w:val="22"/>
          <w:szCs w:val="22"/>
          <w:lang w:val="es-ES" w:bidi="he-IL"/>
        </w:rPr>
      </w:pPr>
      <w:r>
        <w:rPr>
          <w:rFonts w:asciiTheme="minorHAnsi" w:hAnsiTheme="minorHAnsi" w:cstheme="minorHAnsi"/>
          <w:color w:val="000000"/>
          <w:sz w:val="22"/>
          <w:szCs w:val="22"/>
          <w:lang w:val="es-ES" w:bidi="he-IL"/>
        </w:rPr>
        <w:t xml:space="preserve">Según el informe LATAM, que evaluó a 11 países de la región, </w:t>
      </w:r>
      <w:r w:rsidR="00867433" w:rsidRPr="000A2B8C">
        <w:rPr>
          <w:rFonts w:asciiTheme="minorHAnsi" w:hAnsiTheme="minorHAnsi" w:cstheme="minorHAnsi"/>
          <w:color w:val="000000"/>
          <w:sz w:val="22"/>
          <w:szCs w:val="22"/>
          <w:lang w:val="es-ES" w:bidi="he-IL"/>
        </w:rPr>
        <w:t>Chile obtuvo el puntaje más alto</w:t>
      </w:r>
      <w:r>
        <w:rPr>
          <w:rFonts w:asciiTheme="minorHAnsi" w:hAnsiTheme="minorHAnsi" w:cstheme="minorHAnsi"/>
          <w:color w:val="000000"/>
          <w:sz w:val="22"/>
          <w:szCs w:val="22"/>
          <w:lang w:val="es-ES" w:bidi="he-IL"/>
        </w:rPr>
        <w:t xml:space="preserve">, </w:t>
      </w:r>
      <w:r w:rsidR="00867433" w:rsidRPr="000A2B8C">
        <w:rPr>
          <w:rFonts w:asciiTheme="minorHAnsi" w:hAnsiTheme="minorHAnsi" w:cstheme="minorHAnsi"/>
          <w:color w:val="000000"/>
          <w:sz w:val="22"/>
          <w:szCs w:val="22"/>
          <w:lang w:val="es-ES" w:bidi="he-IL"/>
        </w:rPr>
        <w:t xml:space="preserve">(con un puntaje de 69.4%), debido a que según, la percepción de los ejecutivos, se han implementado políticas económicas y normativas coherentes, con una clara visión de largo plazo de convertirse en centro de innovación farmacéutica.  </w:t>
      </w:r>
    </w:p>
    <w:p w:rsidR="00867433" w:rsidRPr="000A2B8C" w:rsidRDefault="00867433" w:rsidP="00E233BC">
      <w:pPr>
        <w:spacing w:after="0"/>
        <w:ind w:left="-284"/>
        <w:rPr>
          <w:rFonts w:asciiTheme="minorHAnsi" w:hAnsiTheme="minorHAnsi" w:cstheme="minorHAnsi"/>
          <w:color w:val="000000"/>
          <w:sz w:val="22"/>
          <w:szCs w:val="22"/>
          <w:lang w:val="es-ES" w:bidi="he-IL"/>
        </w:rPr>
      </w:pPr>
    </w:p>
    <w:p w:rsidR="00785B5D" w:rsidRPr="000A2B8C" w:rsidRDefault="00867433" w:rsidP="00E233BC">
      <w:pPr>
        <w:autoSpaceDE w:val="0"/>
        <w:autoSpaceDN w:val="0"/>
        <w:adjustRightInd w:val="0"/>
        <w:spacing w:after="0"/>
        <w:ind w:left="-284"/>
        <w:rPr>
          <w:rFonts w:asciiTheme="minorHAnsi" w:hAnsiTheme="minorHAnsi" w:cstheme="minorHAnsi"/>
          <w:color w:val="000000"/>
          <w:sz w:val="22"/>
          <w:szCs w:val="22"/>
          <w:lang w:val="es-ES" w:bidi="he-IL"/>
        </w:rPr>
      </w:pPr>
      <w:r w:rsidRPr="000A2B8C">
        <w:rPr>
          <w:rFonts w:asciiTheme="minorHAnsi" w:hAnsiTheme="minorHAnsi" w:cstheme="minorHAnsi"/>
          <w:color w:val="000000"/>
          <w:sz w:val="22"/>
          <w:szCs w:val="22"/>
          <w:lang w:val="es-ES" w:bidi="he-IL"/>
        </w:rPr>
        <w:t xml:space="preserve">Los encuestados otorgaron una calificación alta al entorno de los estudios clínicos en Chile, por su buena infraestructura de </w:t>
      </w:r>
      <w:proofErr w:type="spellStart"/>
      <w:r w:rsidRPr="000A2B8C">
        <w:rPr>
          <w:rFonts w:asciiTheme="minorHAnsi" w:hAnsiTheme="minorHAnsi" w:cstheme="minorHAnsi"/>
          <w:color w:val="000000"/>
          <w:sz w:val="22"/>
          <w:szCs w:val="22"/>
          <w:lang w:val="es-ES" w:bidi="he-IL"/>
        </w:rPr>
        <w:t>CRO</w:t>
      </w:r>
      <w:r w:rsidR="005401D0" w:rsidRPr="000A2B8C">
        <w:rPr>
          <w:rFonts w:asciiTheme="minorHAnsi" w:hAnsiTheme="minorHAnsi" w:cstheme="minorHAnsi"/>
          <w:color w:val="000000"/>
          <w:sz w:val="22"/>
          <w:szCs w:val="22"/>
          <w:lang w:val="es-ES" w:bidi="he-IL"/>
        </w:rPr>
        <w:t>s</w:t>
      </w:r>
      <w:proofErr w:type="spellEnd"/>
      <w:r w:rsidRPr="000A2B8C">
        <w:rPr>
          <w:rFonts w:asciiTheme="minorHAnsi" w:hAnsiTheme="minorHAnsi" w:cstheme="minorHAnsi"/>
          <w:color w:val="000000"/>
          <w:sz w:val="22"/>
          <w:szCs w:val="22"/>
          <w:lang w:val="es-ES" w:bidi="he-IL"/>
        </w:rPr>
        <w:t xml:space="preserve"> (</w:t>
      </w:r>
      <w:proofErr w:type="spellStart"/>
      <w:r w:rsidRPr="000A2B8C">
        <w:rPr>
          <w:rFonts w:asciiTheme="minorHAnsi" w:hAnsiTheme="minorHAnsi" w:cstheme="minorHAnsi"/>
          <w:color w:val="000000"/>
          <w:sz w:val="22"/>
          <w:szCs w:val="22"/>
          <w:lang w:val="es-ES" w:bidi="he-IL"/>
        </w:rPr>
        <w:t>Contract</w:t>
      </w:r>
      <w:proofErr w:type="spellEnd"/>
      <w:r w:rsidR="005401D0" w:rsidRPr="000A2B8C">
        <w:rPr>
          <w:rFonts w:asciiTheme="minorHAnsi" w:hAnsiTheme="minorHAnsi" w:cstheme="minorHAnsi"/>
          <w:color w:val="000000"/>
          <w:sz w:val="22"/>
          <w:szCs w:val="22"/>
          <w:lang w:val="es-ES" w:bidi="he-IL"/>
        </w:rPr>
        <w:t xml:space="preserve"> </w:t>
      </w:r>
      <w:proofErr w:type="spellStart"/>
      <w:r w:rsidRPr="000A2B8C">
        <w:rPr>
          <w:rFonts w:asciiTheme="minorHAnsi" w:hAnsiTheme="minorHAnsi" w:cstheme="minorHAnsi"/>
          <w:color w:val="000000"/>
          <w:sz w:val="22"/>
          <w:szCs w:val="22"/>
          <w:lang w:val="es-ES" w:bidi="he-IL"/>
        </w:rPr>
        <w:t>Research</w:t>
      </w:r>
      <w:proofErr w:type="spellEnd"/>
      <w:r w:rsidR="005401D0" w:rsidRPr="000A2B8C">
        <w:rPr>
          <w:rFonts w:asciiTheme="minorHAnsi" w:hAnsiTheme="minorHAnsi" w:cstheme="minorHAnsi"/>
          <w:color w:val="000000"/>
          <w:sz w:val="22"/>
          <w:szCs w:val="22"/>
          <w:lang w:val="es-ES" w:bidi="he-IL"/>
        </w:rPr>
        <w:t xml:space="preserve"> </w:t>
      </w:r>
      <w:proofErr w:type="spellStart"/>
      <w:r w:rsidRPr="000A2B8C">
        <w:rPr>
          <w:rFonts w:asciiTheme="minorHAnsi" w:hAnsiTheme="minorHAnsi" w:cstheme="minorHAnsi"/>
          <w:color w:val="000000"/>
          <w:sz w:val="22"/>
          <w:szCs w:val="22"/>
          <w:lang w:val="es-ES" w:bidi="he-IL"/>
        </w:rPr>
        <w:t>Organization</w:t>
      </w:r>
      <w:r w:rsidR="005401D0" w:rsidRPr="000A2B8C">
        <w:rPr>
          <w:rFonts w:asciiTheme="minorHAnsi" w:hAnsiTheme="minorHAnsi" w:cstheme="minorHAnsi"/>
          <w:color w:val="000000"/>
          <w:sz w:val="22"/>
          <w:szCs w:val="22"/>
          <w:lang w:val="es-ES" w:bidi="he-IL"/>
        </w:rPr>
        <w:t>s</w:t>
      </w:r>
      <w:proofErr w:type="spellEnd"/>
      <w:r w:rsidRPr="000A2B8C">
        <w:rPr>
          <w:rFonts w:asciiTheme="minorHAnsi" w:hAnsiTheme="minorHAnsi" w:cstheme="minorHAnsi"/>
          <w:color w:val="000000"/>
          <w:sz w:val="22"/>
          <w:szCs w:val="22"/>
          <w:lang w:val="es-ES" w:bidi="he-IL"/>
        </w:rPr>
        <w:t>) y un proceso de aprobación simplificado, aunque consideran que los principal</w:t>
      </w:r>
      <w:r w:rsidR="00220056" w:rsidRPr="000A2B8C">
        <w:rPr>
          <w:rFonts w:asciiTheme="minorHAnsi" w:hAnsiTheme="minorHAnsi" w:cstheme="minorHAnsi"/>
          <w:color w:val="000000"/>
          <w:sz w:val="22"/>
          <w:szCs w:val="22"/>
          <w:lang w:val="es-ES" w:bidi="he-IL"/>
        </w:rPr>
        <w:t xml:space="preserve">es hospitales y clínicas deben aun desarrollar o mejorar sus </w:t>
      </w:r>
      <w:r w:rsidRPr="000A2B8C">
        <w:rPr>
          <w:rFonts w:asciiTheme="minorHAnsi" w:hAnsiTheme="minorHAnsi" w:cstheme="minorHAnsi"/>
          <w:color w:val="000000"/>
          <w:sz w:val="22"/>
          <w:szCs w:val="22"/>
          <w:lang w:val="es-ES" w:bidi="he-IL"/>
        </w:rPr>
        <w:t xml:space="preserve">centros de investigación clínica. </w:t>
      </w:r>
    </w:p>
    <w:p w:rsidR="00785B5D" w:rsidRPr="000A2B8C" w:rsidRDefault="00785B5D" w:rsidP="00E233BC">
      <w:pPr>
        <w:autoSpaceDE w:val="0"/>
        <w:autoSpaceDN w:val="0"/>
        <w:adjustRightInd w:val="0"/>
        <w:spacing w:after="0"/>
        <w:ind w:left="-284"/>
        <w:rPr>
          <w:rFonts w:asciiTheme="minorHAnsi" w:hAnsiTheme="minorHAnsi" w:cstheme="minorHAnsi"/>
          <w:color w:val="000000"/>
          <w:sz w:val="22"/>
          <w:szCs w:val="22"/>
          <w:lang w:val="es-ES" w:bidi="he-IL"/>
        </w:rPr>
      </w:pPr>
    </w:p>
    <w:p w:rsidR="00220056" w:rsidRPr="000A2B8C" w:rsidRDefault="00867433" w:rsidP="00E233BC">
      <w:pPr>
        <w:autoSpaceDE w:val="0"/>
        <w:autoSpaceDN w:val="0"/>
        <w:adjustRightInd w:val="0"/>
        <w:spacing w:after="0"/>
        <w:ind w:left="-284"/>
        <w:rPr>
          <w:rFonts w:asciiTheme="minorHAnsi" w:hAnsiTheme="minorHAnsi" w:cstheme="minorHAnsi"/>
          <w:color w:val="000000"/>
          <w:sz w:val="22"/>
          <w:szCs w:val="22"/>
          <w:lang w:val="es-ES" w:bidi="he-IL"/>
        </w:rPr>
      </w:pPr>
      <w:r w:rsidRPr="000A2B8C">
        <w:rPr>
          <w:rFonts w:asciiTheme="minorHAnsi" w:hAnsiTheme="minorHAnsi" w:cstheme="minorHAnsi"/>
          <w:color w:val="000000"/>
          <w:sz w:val="22"/>
          <w:szCs w:val="22"/>
          <w:lang w:val="es-ES" w:bidi="he-IL"/>
        </w:rPr>
        <w:t xml:space="preserve">Los ejecutivos califican positivamente el entorno regulatorio, señalando los altos </w:t>
      </w:r>
      <w:r w:rsidR="00B72479" w:rsidRPr="000A2B8C">
        <w:rPr>
          <w:rFonts w:asciiTheme="minorHAnsi" w:hAnsiTheme="minorHAnsi" w:cstheme="minorHAnsi"/>
          <w:color w:val="000000"/>
          <w:sz w:val="22"/>
          <w:szCs w:val="22"/>
          <w:lang w:val="es-ES" w:bidi="he-IL"/>
        </w:rPr>
        <w:t>estándares relacionados</w:t>
      </w:r>
      <w:r w:rsidR="00220056" w:rsidRPr="000A2B8C">
        <w:rPr>
          <w:rFonts w:asciiTheme="minorHAnsi" w:hAnsiTheme="minorHAnsi" w:cstheme="minorHAnsi"/>
          <w:color w:val="000000"/>
          <w:sz w:val="22"/>
          <w:szCs w:val="22"/>
          <w:lang w:val="es-ES" w:bidi="he-IL"/>
        </w:rPr>
        <w:t xml:space="preserve"> con el registro de</w:t>
      </w:r>
      <w:r w:rsidRPr="000A2B8C">
        <w:rPr>
          <w:rFonts w:asciiTheme="minorHAnsi" w:hAnsiTheme="minorHAnsi" w:cstheme="minorHAnsi"/>
          <w:color w:val="000000"/>
          <w:sz w:val="22"/>
          <w:szCs w:val="22"/>
          <w:lang w:val="es-ES" w:bidi="he-IL"/>
        </w:rPr>
        <w:t xml:space="preserve"> productos farmacéuticos, y celebran que Chile</w:t>
      </w:r>
      <w:r w:rsidR="00EA025A" w:rsidRPr="000A2B8C">
        <w:rPr>
          <w:rFonts w:asciiTheme="minorHAnsi" w:hAnsiTheme="minorHAnsi" w:cstheme="minorHAnsi"/>
          <w:color w:val="000000"/>
          <w:sz w:val="22"/>
          <w:szCs w:val="22"/>
          <w:lang w:val="es-ES" w:bidi="he-IL"/>
        </w:rPr>
        <w:t xml:space="preserve"> cuente ya con</w:t>
      </w:r>
      <w:r w:rsidRPr="000A2B8C">
        <w:rPr>
          <w:rFonts w:asciiTheme="minorHAnsi" w:hAnsiTheme="minorHAnsi" w:cstheme="minorHAnsi"/>
          <w:color w:val="000000"/>
          <w:sz w:val="22"/>
          <w:szCs w:val="22"/>
          <w:lang w:val="es-ES" w:bidi="he-IL"/>
        </w:rPr>
        <w:t xml:space="preserve"> una autoridad regional acreditada de nivel 4 de </w:t>
      </w:r>
      <w:r w:rsidR="00220056" w:rsidRPr="000A2B8C">
        <w:rPr>
          <w:rFonts w:asciiTheme="minorHAnsi" w:hAnsiTheme="minorHAnsi" w:cstheme="minorHAnsi"/>
          <w:color w:val="000000"/>
          <w:sz w:val="22"/>
          <w:szCs w:val="22"/>
          <w:lang w:val="es-ES" w:bidi="he-IL"/>
        </w:rPr>
        <w:t xml:space="preserve">la OPS/OMS. Sin embargo, estiman que los cambios regulatorios </w:t>
      </w:r>
      <w:r w:rsidR="00785B5D" w:rsidRPr="000A2B8C">
        <w:rPr>
          <w:rFonts w:asciiTheme="minorHAnsi" w:hAnsiTheme="minorHAnsi" w:cstheme="minorHAnsi"/>
          <w:color w:val="000000"/>
          <w:sz w:val="22"/>
          <w:szCs w:val="22"/>
          <w:lang w:val="es-ES" w:bidi="he-IL"/>
        </w:rPr>
        <w:t>en materia de</w:t>
      </w:r>
      <w:r w:rsidR="00220056" w:rsidRPr="000A2B8C">
        <w:rPr>
          <w:rFonts w:asciiTheme="minorHAnsi" w:hAnsiTheme="minorHAnsi" w:cstheme="minorHAnsi"/>
          <w:color w:val="000000"/>
          <w:sz w:val="22"/>
          <w:szCs w:val="22"/>
          <w:lang w:val="es-ES" w:bidi="he-IL"/>
        </w:rPr>
        <w:t xml:space="preserve"> </w:t>
      </w:r>
      <w:r w:rsidR="00785B5D" w:rsidRPr="000A2B8C">
        <w:rPr>
          <w:rFonts w:asciiTheme="minorHAnsi" w:hAnsiTheme="minorHAnsi" w:cstheme="minorHAnsi"/>
          <w:color w:val="000000"/>
          <w:sz w:val="22"/>
          <w:szCs w:val="22"/>
          <w:lang w:val="es-ES" w:bidi="he-IL"/>
        </w:rPr>
        <w:t>ensayos</w:t>
      </w:r>
      <w:r w:rsidR="00220056" w:rsidRPr="000A2B8C">
        <w:rPr>
          <w:rFonts w:asciiTheme="minorHAnsi" w:hAnsiTheme="minorHAnsi" w:cstheme="minorHAnsi"/>
          <w:color w:val="000000"/>
          <w:sz w:val="22"/>
          <w:szCs w:val="22"/>
          <w:lang w:val="es-ES" w:bidi="he-IL"/>
        </w:rPr>
        <w:t xml:space="preserve"> </w:t>
      </w:r>
      <w:r w:rsidR="00785B5D" w:rsidRPr="000A2B8C">
        <w:rPr>
          <w:rFonts w:asciiTheme="minorHAnsi" w:hAnsiTheme="minorHAnsi" w:cstheme="minorHAnsi"/>
          <w:color w:val="000000"/>
          <w:sz w:val="22"/>
          <w:szCs w:val="22"/>
          <w:lang w:val="es-ES" w:bidi="he-IL"/>
        </w:rPr>
        <w:t>clínicos</w:t>
      </w:r>
      <w:r w:rsidR="00220056" w:rsidRPr="000A2B8C">
        <w:rPr>
          <w:rFonts w:asciiTheme="minorHAnsi" w:hAnsiTheme="minorHAnsi" w:cstheme="minorHAnsi"/>
          <w:color w:val="000000"/>
          <w:sz w:val="22"/>
          <w:szCs w:val="22"/>
          <w:lang w:val="es-ES" w:bidi="he-IL"/>
        </w:rPr>
        <w:t xml:space="preserve"> </w:t>
      </w:r>
      <w:r w:rsidR="00785B5D" w:rsidRPr="000A2B8C">
        <w:rPr>
          <w:rFonts w:asciiTheme="minorHAnsi" w:hAnsiTheme="minorHAnsi" w:cstheme="minorHAnsi"/>
          <w:color w:val="000000"/>
          <w:sz w:val="22"/>
          <w:szCs w:val="22"/>
          <w:lang w:val="es-ES" w:bidi="he-IL"/>
        </w:rPr>
        <w:t>incluidos en</w:t>
      </w:r>
      <w:r w:rsidR="00220056" w:rsidRPr="000A2B8C">
        <w:rPr>
          <w:rFonts w:asciiTheme="minorHAnsi" w:hAnsiTheme="minorHAnsi" w:cstheme="minorHAnsi"/>
          <w:color w:val="000000"/>
          <w:sz w:val="22"/>
          <w:szCs w:val="22"/>
          <w:lang w:val="es-ES" w:bidi="he-IL"/>
        </w:rPr>
        <w:t xml:space="preserve"> la Ley Ricarte Soto (continuidad de tratamiento y responsabilidad </w:t>
      </w:r>
      <w:r w:rsidR="00785B5D" w:rsidRPr="000A2B8C">
        <w:rPr>
          <w:rFonts w:asciiTheme="minorHAnsi" w:hAnsiTheme="minorHAnsi" w:cstheme="minorHAnsi"/>
          <w:color w:val="000000"/>
          <w:sz w:val="22"/>
          <w:szCs w:val="22"/>
          <w:lang w:val="es-ES" w:bidi="he-IL"/>
        </w:rPr>
        <w:t xml:space="preserve">sin causalidad directa y </w:t>
      </w:r>
      <w:r w:rsidR="00220056" w:rsidRPr="000A2B8C">
        <w:rPr>
          <w:rFonts w:asciiTheme="minorHAnsi" w:hAnsiTheme="minorHAnsi" w:cstheme="minorHAnsi"/>
          <w:color w:val="000000"/>
          <w:sz w:val="22"/>
          <w:szCs w:val="22"/>
          <w:lang w:val="es-ES" w:bidi="he-IL"/>
        </w:rPr>
        <w:t>a todo evento) introducen incertidumbre importante</w:t>
      </w:r>
      <w:r w:rsidR="00785B5D" w:rsidRPr="000A2B8C">
        <w:rPr>
          <w:rFonts w:asciiTheme="minorHAnsi" w:hAnsiTheme="minorHAnsi" w:cstheme="minorHAnsi"/>
          <w:color w:val="000000"/>
          <w:sz w:val="22"/>
          <w:szCs w:val="22"/>
          <w:lang w:val="es-ES" w:bidi="he-IL"/>
        </w:rPr>
        <w:t>,</w:t>
      </w:r>
      <w:r w:rsidR="00220056" w:rsidRPr="000A2B8C">
        <w:rPr>
          <w:rFonts w:asciiTheme="minorHAnsi" w:hAnsiTheme="minorHAnsi" w:cstheme="minorHAnsi"/>
          <w:color w:val="000000"/>
          <w:sz w:val="22"/>
          <w:szCs w:val="22"/>
          <w:lang w:val="es-ES" w:bidi="he-IL"/>
        </w:rPr>
        <w:t xml:space="preserve"> que afectara la inversión en investigación clínica en el país.   </w:t>
      </w:r>
    </w:p>
    <w:p w:rsidR="00867433" w:rsidRPr="000A2B8C" w:rsidRDefault="00867433" w:rsidP="00E233BC">
      <w:pPr>
        <w:pStyle w:val="Sinespaciado"/>
        <w:ind w:left="-284"/>
        <w:jc w:val="both"/>
        <w:rPr>
          <w:rFonts w:eastAsia="Calibri" w:cstheme="minorHAnsi"/>
          <w:color w:val="000000"/>
          <w:lang w:val="es-ES" w:bidi="he-IL"/>
        </w:rPr>
      </w:pPr>
    </w:p>
    <w:p w:rsidR="00867433" w:rsidRPr="000A2B8C" w:rsidRDefault="00867433" w:rsidP="00E233BC">
      <w:pPr>
        <w:spacing w:after="0"/>
        <w:ind w:left="-284" w:right="49"/>
        <w:rPr>
          <w:rFonts w:asciiTheme="minorHAnsi" w:hAnsiTheme="minorHAnsi" w:cstheme="minorHAnsi"/>
          <w:i/>
          <w:sz w:val="22"/>
          <w:szCs w:val="22"/>
          <w:lang w:val="es-CL"/>
        </w:rPr>
      </w:pPr>
      <w:r w:rsidRPr="000A2B8C">
        <w:rPr>
          <w:rFonts w:asciiTheme="minorHAnsi" w:hAnsiTheme="minorHAnsi" w:cstheme="minorHAnsi"/>
          <w:i/>
          <w:sz w:val="22"/>
          <w:szCs w:val="22"/>
          <w:lang w:val="es-CL"/>
        </w:rPr>
        <w:t xml:space="preserve">“Esta ubicación confirma el potencial que tiene nuestro país para desarrollar un polo </w:t>
      </w:r>
      <w:r w:rsidR="00756007" w:rsidRPr="000A2B8C">
        <w:rPr>
          <w:rFonts w:asciiTheme="minorHAnsi" w:hAnsiTheme="minorHAnsi" w:cstheme="minorHAnsi"/>
          <w:i/>
          <w:sz w:val="22"/>
          <w:szCs w:val="22"/>
          <w:lang w:val="es-CL"/>
        </w:rPr>
        <w:t xml:space="preserve">de clase mundial </w:t>
      </w:r>
      <w:r w:rsidRPr="000A2B8C">
        <w:rPr>
          <w:rFonts w:asciiTheme="minorHAnsi" w:hAnsiTheme="minorHAnsi" w:cstheme="minorHAnsi"/>
          <w:i/>
          <w:sz w:val="22"/>
          <w:szCs w:val="22"/>
          <w:lang w:val="es-CL"/>
        </w:rPr>
        <w:t>en el área de la biomedicina y la exportación de servicios globales</w:t>
      </w:r>
      <w:r w:rsidR="00293E01" w:rsidRPr="000A2B8C">
        <w:rPr>
          <w:rFonts w:asciiTheme="minorHAnsi" w:hAnsiTheme="minorHAnsi" w:cstheme="minorHAnsi"/>
          <w:i/>
          <w:sz w:val="22"/>
          <w:szCs w:val="22"/>
          <w:lang w:val="es-CL"/>
        </w:rPr>
        <w:t xml:space="preserve"> asociados a </w:t>
      </w:r>
      <w:r w:rsidR="00756007" w:rsidRPr="000A2B8C">
        <w:rPr>
          <w:rFonts w:asciiTheme="minorHAnsi" w:hAnsiTheme="minorHAnsi" w:cstheme="minorHAnsi"/>
          <w:i/>
          <w:sz w:val="22"/>
          <w:szCs w:val="22"/>
          <w:lang w:val="es-CL"/>
        </w:rPr>
        <w:t xml:space="preserve">la </w:t>
      </w:r>
      <w:r w:rsidR="00293E01" w:rsidRPr="000A2B8C">
        <w:rPr>
          <w:rFonts w:asciiTheme="minorHAnsi" w:hAnsiTheme="minorHAnsi" w:cstheme="minorHAnsi"/>
          <w:i/>
          <w:sz w:val="22"/>
          <w:szCs w:val="22"/>
          <w:lang w:val="es-CL"/>
        </w:rPr>
        <w:t>Salud</w:t>
      </w:r>
      <w:r w:rsidR="00756007" w:rsidRPr="000A2B8C">
        <w:rPr>
          <w:rFonts w:asciiTheme="minorHAnsi" w:hAnsiTheme="minorHAnsi" w:cstheme="minorHAnsi"/>
          <w:i/>
          <w:sz w:val="22"/>
          <w:szCs w:val="22"/>
          <w:lang w:val="es-CL"/>
        </w:rPr>
        <w:t>,</w:t>
      </w:r>
      <w:r w:rsidRPr="000A2B8C">
        <w:rPr>
          <w:rFonts w:asciiTheme="minorHAnsi" w:hAnsiTheme="minorHAnsi" w:cstheme="minorHAnsi"/>
          <w:i/>
          <w:sz w:val="22"/>
          <w:szCs w:val="22"/>
          <w:lang w:val="es-CL"/>
        </w:rPr>
        <w:t xml:space="preserve"> contribuyendo a la diversificación productiva e inserción internacional de Chile</w:t>
      </w:r>
      <w:r w:rsidR="00293E01" w:rsidRPr="000A2B8C">
        <w:rPr>
          <w:rFonts w:asciiTheme="minorHAnsi" w:hAnsiTheme="minorHAnsi" w:cstheme="minorHAnsi"/>
          <w:i/>
          <w:sz w:val="22"/>
          <w:szCs w:val="22"/>
          <w:lang w:val="es-CL"/>
        </w:rPr>
        <w:t xml:space="preserve"> en actividades mas intensivas en conocimientos e </w:t>
      </w:r>
      <w:r w:rsidR="00756007" w:rsidRPr="000A2B8C">
        <w:rPr>
          <w:rFonts w:asciiTheme="minorHAnsi" w:hAnsiTheme="minorHAnsi" w:cstheme="minorHAnsi"/>
          <w:i/>
          <w:sz w:val="22"/>
          <w:szCs w:val="22"/>
          <w:lang w:val="es-CL"/>
        </w:rPr>
        <w:t>innovación”,</w:t>
      </w:r>
      <w:r w:rsidR="00756007" w:rsidRPr="000A2B8C">
        <w:rPr>
          <w:rFonts w:asciiTheme="minorHAnsi" w:hAnsiTheme="minorHAnsi" w:cstheme="minorHAnsi"/>
          <w:sz w:val="22"/>
          <w:szCs w:val="22"/>
          <w:lang w:val="es-CL"/>
        </w:rPr>
        <w:t xml:space="preserve"> señaló </w:t>
      </w:r>
      <w:r w:rsidR="00756007" w:rsidRPr="00C80039">
        <w:rPr>
          <w:rFonts w:asciiTheme="minorHAnsi" w:hAnsiTheme="minorHAnsi" w:cstheme="minorHAnsi"/>
          <w:b/>
          <w:sz w:val="22"/>
          <w:szCs w:val="22"/>
          <w:lang w:val="es-CL"/>
        </w:rPr>
        <w:t>Jean-</w:t>
      </w:r>
      <w:r w:rsidRPr="00C80039">
        <w:rPr>
          <w:rFonts w:asciiTheme="minorHAnsi" w:hAnsiTheme="minorHAnsi" w:cstheme="minorHAnsi"/>
          <w:b/>
          <w:sz w:val="22"/>
          <w:szCs w:val="22"/>
          <w:lang w:val="es-CL"/>
        </w:rPr>
        <w:t>Jacques Duhart</w:t>
      </w:r>
      <w:r w:rsidRPr="000A2B8C">
        <w:rPr>
          <w:rFonts w:asciiTheme="minorHAnsi" w:hAnsiTheme="minorHAnsi" w:cstheme="minorHAnsi"/>
          <w:sz w:val="22"/>
          <w:szCs w:val="22"/>
          <w:lang w:val="es-CL"/>
        </w:rPr>
        <w:t>, vicepresidente ejecutivo de CIF.</w:t>
      </w:r>
      <w:r w:rsidR="00756007" w:rsidRPr="000A2B8C">
        <w:rPr>
          <w:rFonts w:asciiTheme="minorHAnsi" w:hAnsiTheme="minorHAnsi" w:cstheme="minorHAnsi"/>
          <w:sz w:val="22"/>
          <w:szCs w:val="22"/>
          <w:lang w:val="es-CL"/>
        </w:rPr>
        <w:t xml:space="preserve"> </w:t>
      </w:r>
      <w:r w:rsidR="00163129" w:rsidRPr="000A2B8C">
        <w:rPr>
          <w:rFonts w:asciiTheme="minorHAnsi" w:hAnsiTheme="minorHAnsi" w:cstheme="minorHAnsi"/>
          <w:sz w:val="22"/>
          <w:szCs w:val="22"/>
          <w:lang w:val="es-CL"/>
        </w:rPr>
        <w:t>“</w:t>
      </w:r>
      <w:r w:rsidR="00163129" w:rsidRPr="000A2B8C">
        <w:rPr>
          <w:rFonts w:asciiTheme="minorHAnsi" w:hAnsiTheme="minorHAnsi" w:cstheme="minorHAnsi"/>
          <w:i/>
          <w:sz w:val="22"/>
          <w:szCs w:val="22"/>
          <w:lang w:val="es-CL"/>
        </w:rPr>
        <w:t>É</w:t>
      </w:r>
      <w:r w:rsidR="00756007" w:rsidRPr="000A2B8C">
        <w:rPr>
          <w:rFonts w:asciiTheme="minorHAnsi" w:hAnsiTheme="minorHAnsi" w:cstheme="minorHAnsi"/>
          <w:i/>
          <w:sz w:val="22"/>
          <w:szCs w:val="22"/>
          <w:lang w:val="es-CL"/>
        </w:rPr>
        <w:t>ste es el camino que han seguido numerosos países altamente desarrollados, y m</w:t>
      </w:r>
      <w:r w:rsidR="00163129" w:rsidRPr="000A2B8C">
        <w:rPr>
          <w:rFonts w:asciiTheme="minorHAnsi" w:hAnsiTheme="minorHAnsi" w:cstheme="minorHAnsi"/>
          <w:i/>
          <w:sz w:val="22"/>
          <w:szCs w:val="22"/>
          <w:lang w:val="es-CL"/>
        </w:rPr>
        <w:t>á</w:t>
      </w:r>
      <w:r w:rsidR="00756007" w:rsidRPr="000A2B8C">
        <w:rPr>
          <w:rFonts w:asciiTheme="minorHAnsi" w:hAnsiTheme="minorHAnsi" w:cstheme="minorHAnsi"/>
          <w:i/>
          <w:sz w:val="22"/>
          <w:szCs w:val="22"/>
          <w:lang w:val="es-CL"/>
        </w:rPr>
        <w:t xml:space="preserve">s recientemente países emergentes como Israel y Singapur. Dichos </w:t>
      </w:r>
      <w:r w:rsidR="00C91BA6" w:rsidRPr="000A2B8C">
        <w:rPr>
          <w:rFonts w:asciiTheme="minorHAnsi" w:hAnsiTheme="minorHAnsi" w:cstheme="minorHAnsi"/>
          <w:i/>
          <w:sz w:val="22"/>
          <w:szCs w:val="22"/>
          <w:lang w:val="es-CL"/>
        </w:rPr>
        <w:t>países</w:t>
      </w:r>
      <w:r w:rsidR="00756007" w:rsidRPr="000A2B8C">
        <w:rPr>
          <w:rFonts w:asciiTheme="minorHAnsi" w:hAnsiTheme="minorHAnsi" w:cstheme="minorHAnsi"/>
          <w:i/>
          <w:sz w:val="22"/>
          <w:szCs w:val="22"/>
          <w:lang w:val="es-CL"/>
        </w:rPr>
        <w:t xml:space="preserve"> han potenciado sus servicios e industrias ligadas a la Salud, como un motor de dinamismo e innovación y uno de los ejes para incorporarse a las economías del conocimiento, además de generar enormes beneficios para la atención de los pacientes</w:t>
      </w:r>
      <w:r w:rsidR="00752302" w:rsidRPr="000A2B8C">
        <w:rPr>
          <w:rFonts w:asciiTheme="minorHAnsi" w:hAnsiTheme="minorHAnsi" w:cstheme="minorHAnsi"/>
          <w:i/>
          <w:sz w:val="22"/>
          <w:szCs w:val="22"/>
          <w:lang w:val="es-CL"/>
        </w:rPr>
        <w:t xml:space="preserve"> y la salud de sus poblaciones</w:t>
      </w:r>
      <w:r w:rsidR="00756007" w:rsidRPr="000A2B8C">
        <w:rPr>
          <w:rFonts w:asciiTheme="minorHAnsi" w:hAnsiTheme="minorHAnsi" w:cstheme="minorHAnsi"/>
          <w:i/>
          <w:sz w:val="22"/>
          <w:szCs w:val="22"/>
          <w:lang w:val="es-CL"/>
        </w:rPr>
        <w:t>”.</w:t>
      </w:r>
    </w:p>
    <w:p w:rsidR="00867433" w:rsidRPr="000A2B8C" w:rsidRDefault="00867433" w:rsidP="00E233BC">
      <w:pPr>
        <w:spacing w:after="0"/>
        <w:ind w:left="-284"/>
        <w:rPr>
          <w:rFonts w:asciiTheme="minorHAnsi" w:hAnsiTheme="minorHAnsi" w:cstheme="minorHAnsi"/>
          <w:color w:val="000000"/>
          <w:sz w:val="22"/>
          <w:szCs w:val="22"/>
          <w:lang w:val="es-CL" w:bidi="he-IL"/>
        </w:rPr>
      </w:pPr>
    </w:p>
    <w:p w:rsidR="00867433" w:rsidRPr="000A2B8C" w:rsidRDefault="00867433" w:rsidP="00E233BC">
      <w:pPr>
        <w:spacing w:after="0"/>
        <w:ind w:left="-284"/>
        <w:rPr>
          <w:rFonts w:asciiTheme="minorHAnsi" w:hAnsiTheme="minorHAnsi" w:cstheme="minorHAnsi"/>
          <w:color w:val="000000"/>
          <w:sz w:val="22"/>
          <w:szCs w:val="22"/>
          <w:lang w:val="es-ES" w:bidi="he-IL"/>
        </w:rPr>
      </w:pPr>
      <w:r w:rsidRPr="000A2B8C">
        <w:rPr>
          <w:rFonts w:asciiTheme="minorHAnsi" w:hAnsiTheme="minorHAnsi" w:cstheme="minorHAnsi"/>
          <w:color w:val="000000"/>
          <w:sz w:val="22"/>
          <w:szCs w:val="22"/>
          <w:lang w:val="es-ES" w:bidi="he-IL"/>
        </w:rPr>
        <w:t>Costa Rica y México obtuvieron el segundo y tercer lugar (con puntajes de 63.6% y 63.1% respectivamente), con esfuerzos similares de modernización de sus economías y deseos también de volverse imanes a la inversión extranjera.  Por su parte, Colombia, Argentina y Brasil clasificaron en el cuadrante más bajo de la región – con puntajes entre 53.4 y 55.6 sobre 100, en gran medida por tener entornos de políticas económicas y normativas inconsistentes con estándares internacionales, según los ejecutivos que participaron en el estudio.  La evaluación abreviada de biosimilares, la inclusión de factores económicos en la aprobación de nuevos medicamentos, y la inclinación por el uso de licencias obligatorias como mecanismo para solventar problemas de acceso, fueron algunos de los temas de gran preocupación mencionados como factores que afectan la competitividad de estos países.</w:t>
      </w:r>
    </w:p>
    <w:p w:rsidR="00867433" w:rsidRPr="000A2B8C" w:rsidRDefault="00867433" w:rsidP="00E233BC">
      <w:pPr>
        <w:spacing w:after="0"/>
        <w:ind w:left="-284" w:right="998"/>
        <w:rPr>
          <w:rFonts w:asciiTheme="minorHAnsi" w:hAnsiTheme="minorHAnsi" w:cstheme="minorHAnsi"/>
          <w:b/>
          <w:sz w:val="22"/>
          <w:szCs w:val="22"/>
          <w:lang w:val="es-ES"/>
        </w:rPr>
      </w:pPr>
    </w:p>
    <w:p w:rsidR="00C91BA6" w:rsidRPr="000A2B8C" w:rsidRDefault="00867433" w:rsidP="00E233BC">
      <w:pPr>
        <w:spacing w:after="0"/>
        <w:ind w:left="-284"/>
        <w:rPr>
          <w:rFonts w:asciiTheme="minorHAnsi" w:hAnsiTheme="minorHAnsi" w:cstheme="minorHAnsi"/>
          <w:color w:val="000000"/>
          <w:sz w:val="22"/>
          <w:szCs w:val="22"/>
          <w:lang w:val="es-ES" w:bidi="he-IL"/>
        </w:rPr>
      </w:pPr>
      <w:r w:rsidRPr="000A2B8C">
        <w:rPr>
          <w:rFonts w:asciiTheme="minorHAnsi" w:hAnsiTheme="minorHAnsi" w:cstheme="minorHAnsi"/>
          <w:color w:val="000000"/>
          <w:sz w:val="22"/>
          <w:szCs w:val="22"/>
          <w:lang w:val="es-ES" w:bidi="he-IL"/>
        </w:rPr>
        <w:t xml:space="preserve">El puntaje promedio en América Latina – de 58 sobre 100 – es debido principalmente a ciertas áreas de preocupación que tienen los ejecutivos locales.  Las entidades regulatorias tienen capacidades muy limitadas para aprobar nuevos medicamentos, especialmente en el área de biosimilares, y el sistema es muy lento y burocrático.  No existen mecanismos efectivos de compensación por </w:t>
      </w:r>
      <w:r w:rsidRPr="000A2B8C">
        <w:rPr>
          <w:rFonts w:asciiTheme="minorHAnsi" w:hAnsiTheme="minorHAnsi" w:cstheme="minorHAnsi"/>
          <w:color w:val="000000"/>
          <w:sz w:val="22"/>
          <w:szCs w:val="22"/>
          <w:lang w:val="es-ES" w:bidi="he-IL"/>
        </w:rPr>
        <w:lastRenderedPageBreak/>
        <w:t>infracciones de propiedad intelectual, y es difícil proteger datos clínicos producidos en estudios de seguridad y eficacia de nuevos medicamentos.  Finalmente, el acceso al mercado en Latinoamérica y entorno de negocios están fuertemente sesgados a favor de compañías locales.  De hecho, estos mercados son vistos somo los más retadores de todas las economías incluidas en el estudio.</w:t>
      </w:r>
    </w:p>
    <w:p w:rsidR="00C91BA6" w:rsidRPr="000A2B8C" w:rsidRDefault="00C91BA6" w:rsidP="00E233BC">
      <w:pPr>
        <w:spacing w:after="0"/>
        <w:ind w:left="-284"/>
        <w:rPr>
          <w:rFonts w:asciiTheme="minorHAnsi" w:hAnsiTheme="minorHAnsi" w:cstheme="minorHAnsi"/>
          <w:color w:val="222222"/>
          <w:sz w:val="22"/>
          <w:szCs w:val="22"/>
          <w:lang w:val="es-ES"/>
        </w:rPr>
      </w:pPr>
    </w:p>
    <w:p w:rsidR="00C91BA6" w:rsidRDefault="002F2537" w:rsidP="00E233BC">
      <w:pPr>
        <w:spacing w:after="0"/>
        <w:ind w:left="-284"/>
        <w:rPr>
          <w:rStyle w:val="Hipervnculo"/>
          <w:rFonts w:asciiTheme="minorHAnsi" w:hAnsiTheme="minorHAnsi" w:cstheme="minorHAnsi"/>
          <w:sz w:val="22"/>
          <w:szCs w:val="22"/>
          <w:lang w:val="es-ES" w:bidi="he-IL"/>
        </w:rPr>
      </w:pPr>
      <w:r>
        <w:rPr>
          <w:rFonts w:asciiTheme="minorHAnsi" w:hAnsiTheme="minorHAnsi" w:cstheme="minorHAnsi"/>
          <w:b/>
          <w:color w:val="000000"/>
          <w:sz w:val="22"/>
          <w:szCs w:val="22"/>
          <w:lang w:val="es-ES" w:bidi="he-IL"/>
        </w:rPr>
        <w:t xml:space="preserve">Los </w:t>
      </w:r>
      <w:r w:rsidR="00C91BA6" w:rsidRPr="00C80039">
        <w:rPr>
          <w:rFonts w:asciiTheme="minorHAnsi" w:hAnsiTheme="minorHAnsi" w:cstheme="minorHAnsi"/>
          <w:b/>
          <w:color w:val="000000"/>
          <w:sz w:val="22"/>
          <w:szCs w:val="22"/>
          <w:lang w:val="es-ES" w:bidi="he-IL"/>
        </w:rPr>
        <w:t>estudio</w:t>
      </w:r>
      <w:r>
        <w:rPr>
          <w:rFonts w:asciiTheme="minorHAnsi" w:hAnsiTheme="minorHAnsi" w:cstheme="minorHAnsi"/>
          <w:b/>
          <w:color w:val="000000"/>
          <w:sz w:val="22"/>
          <w:szCs w:val="22"/>
          <w:lang w:val="es-ES" w:bidi="he-IL"/>
        </w:rPr>
        <w:t>s</w:t>
      </w:r>
      <w:r w:rsidR="00C91BA6" w:rsidRPr="00C80039">
        <w:rPr>
          <w:rFonts w:asciiTheme="minorHAnsi" w:hAnsiTheme="minorHAnsi" w:cstheme="minorHAnsi"/>
          <w:b/>
          <w:color w:val="000000"/>
          <w:sz w:val="22"/>
          <w:szCs w:val="22"/>
          <w:lang w:val="es-ES" w:bidi="he-IL"/>
        </w:rPr>
        <w:t xml:space="preserve"> está</w:t>
      </w:r>
      <w:r>
        <w:rPr>
          <w:rFonts w:asciiTheme="minorHAnsi" w:hAnsiTheme="minorHAnsi" w:cstheme="minorHAnsi"/>
          <w:b/>
          <w:color w:val="000000"/>
          <w:sz w:val="22"/>
          <w:szCs w:val="22"/>
          <w:lang w:val="es-ES" w:bidi="he-IL"/>
        </w:rPr>
        <w:t>n</w:t>
      </w:r>
      <w:r w:rsidR="00C91BA6" w:rsidRPr="00C80039">
        <w:rPr>
          <w:rFonts w:asciiTheme="minorHAnsi" w:hAnsiTheme="minorHAnsi" w:cstheme="minorHAnsi"/>
          <w:b/>
          <w:color w:val="000000"/>
          <w:sz w:val="22"/>
          <w:szCs w:val="22"/>
          <w:lang w:val="es-ES" w:bidi="he-IL"/>
        </w:rPr>
        <w:t xml:space="preserve"> </w:t>
      </w:r>
      <w:r w:rsidR="00834A01" w:rsidRPr="00C80039">
        <w:rPr>
          <w:rFonts w:asciiTheme="minorHAnsi" w:hAnsiTheme="minorHAnsi" w:cstheme="minorHAnsi"/>
          <w:b/>
          <w:color w:val="000000"/>
          <w:sz w:val="22"/>
          <w:szCs w:val="22"/>
          <w:lang w:val="es-ES" w:bidi="he-IL"/>
        </w:rPr>
        <w:t>disponibles</w:t>
      </w:r>
      <w:r w:rsidR="00C91BA6" w:rsidRPr="00C80039">
        <w:rPr>
          <w:rFonts w:asciiTheme="minorHAnsi" w:hAnsiTheme="minorHAnsi" w:cstheme="minorHAnsi"/>
          <w:b/>
          <w:color w:val="000000"/>
          <w:sz w:val="22"/>
          <w:szCs w:val="22"/>
          <w:lang w:val="es-ES" w:bidi="he-IL"/>
        </w:rPr>
        <w:t xml:space="preserve"> para su descarga en</w:t>
      </w:r>
      <w:r w:rsidR="00C91BA6" w:rsidRPr="000A2B8C">
        <w:rPr>
          <w:rFonts w:asciiTheme="minorHAnsi" w:hAnsiTheme="minorHAnsi" w:cstheme="minorHAnsi"/>
          <w:color w:val="000000"/>
          <w:sz w:val="22"/>
          <w:szCs w:val="22"/>
          <w:lang w:val="es-ES" w:bidi="he-IL"/>
        </w:rPr>
        <w:t>:</w:t>
      </w:r>
      <w:r w:rsidR="000A2B8C" w:rsidRPr="000A2B8C">
        <w:rPr>
          <w:rFonts w:asciiTheme="minorHAnsi" w:hAnsiTheme="minorHAnsi" w:cstheme="minorHAnsi"/>
          <w:color w:val="000000"/>
          <w:sz w:val="22"/>
          <w:szCs w:val="22"/>
          <w:lang w:val="es-ES" w:bidi="he-IL"/>
        </w:rPr>
        <w:t xml:space="preserve"> </w:t>
      </w:r>
      <w:hyperlink r:id="rId9" w:history="1">
        <w:r w:rsidR="000A2B8C" w:rsidRPr="000A2B8C">
          <w:rPr>
            <w:rStyle w:val="Hipervnculo"/>
            <w:rFonts w:asciiTheme="minorHAnsi" w:hAnsiTheme="minorHAnsi" w:cstheme="minorHAnsi"/>
            <w:sz w:val="22"/>
            <w:szCs w:val="22"/>
            <w:lang w:val="es-ES" w:bidi="he-IL"/>
          </w:rPr>
          <w:t>www.cifchile.cl</w:t>
        </w:r>
      </w:hyperlink>
      <w:r w:rsidR="000A2B8C" w:rsidRPr="000A2B8C">
        <w:rPr>
          <w:rFonts w:asciiTheme="minorHAnsi" w:hAnsiTheme="minorHAnsi" w:cstheme="minorHAnsi"/>
          <w:color w:val="000000"/>
          <w:sz w:val="22"/>
          <w:szCs w:val="22"/>
          <w:lang w:val="es-ES" w:bidi="he-IL"/>
        </w:rPr>
        <w:t xml:space="preserve"> y </w:t>
      </w:r>
      <w:hyperlink r:id="rId10" w:history="1">
        <w:r w:rsidR="000A2B8C" w:rsidRPr="000A2B8C">
          <w:rPr>
            <w:rStyle w:val="Hipervnculo"/>
            <w:rFonts w:asciiTheme="minorHAnsi" w:hAnsiTheme="minorHAnsi" w:cstheme="minorHAnsi"/>
            <w:sz w:val="22"/>
            <w:szCs w:val="22"/>
            <w:lang w:val="es-ES" w:bidi="he-IL"/>
          </w:rPr>
          <w:t>www.fifarma.com</w:t>
        </w:r>
      </w:hyperlink>
    </w:p>
    <w:p w:rsidR="00E233BC" w:rsidRPr="00C80039" w:rsidRDefault="00E233BC" w:rsidP="00E233BC">
      <w:pPr>
        <w:spacing w:after="0"/>
        <w:ind w:left="-284"/>
        <w:rPr>
          <w:rFonts w:asciiTheme="minorHAnsi" w:hAnsiTheme="minorHAnsi" w:cstheme="minorHAnsi"/>
          <w:color w:val="000000"/>
          <w:sz w:val="22"/>
          <w:szCs w:val="22"/>
          <w:lang w:val="es-ES" w:bidi="he-IL"/>
        </w:rPr>
      </w:pPr>
    </w:p>
    <w:p w:rsidR="00C80039" w:rsidRPr="000A2B8C" w:rsidRDefault="00C80039" w:rsidP="00E233BC">
      <w:pPr>
        <w:spacing w:after="0"/>
        <w:ind w:left="-284"/>
        <w:rPr>
          <w:rFonts w:asciiTheme="minorHAnsi" w:hAnsiTheme="minorHAnsi" w:cstheme="minorHAnsi"/>
          <w:b/>
          <w:color w:val="000000"/>
          <w:sz w:val="22"/>
          <w:szCs w:val="22"/>
          <w:lang w:val="es-ES" w:bidi="he-IL"/>
        </w:rPr>
      </w:pPr>
      <w:r w:rsidRPr="000A2B8C">
        <w:rPr>
          <w:rFonts w:asciiTheme="minorHAnsi" w:hAnsiTheme="minorHAnsi" w:cstheme="minorHAnsi"/>
          <w:b/>
          <w:color w:val="000000"/>
          <w:sz w:val="22"/>
          <w:szCs w:val="22"/>
          <w:lang w:val="es-ES" w:bidi="he-IL"/>
        </w:rPr>
        <w:t>Sobre CIF</w:t>
      </w:r>
    </w:p>
    <w:p w:rsidR="00C80039" w:rsidRDefault="00C80039" w:rsidP="00E233BC">
      <w:pPr>
        <w:spacing w:after="0"/>
        <w:ind w:left="-284"/>
        <w:rPr>
          <w:rFonts w:asciiTheme="minorHAnsi" w:hAnsiTheme="minorHAnsi" w:cstheme="minorHAnsi"/>
          <w:color w:val="000000"/>
          <w:sz w:val="22"/>
          <w:szCs w:val="22"/>
          <w:lang w:val="es-ES" w:bidi="he-IL"/>
        </w:rPr>
      </w:pPr>
      <w:r w:rsidRPr="000A2B8C">
        <w:rPr>
          <w:rFonts w:asciiTheme="minorHAnsi" w:hAnsiTheme="minorHAnsi" w:cstheme="minorHAnsi"/>
          <w:bCs/>
          <w:color w:val="000000"/>
          <w:sz w:val="22"/>
          <w:szCs w:val="22"/>
          <w:lang w:val="es-ES" w:bidi="he-IL"/>
        </w:rPr>
        <w:t>La Cámara de la Innovación Farmacéutica (CIF)</w:t>
      </w:r>
      <w:r w:rsidRPr="000A2B8C">
        <w:rPr>
          <w:rFonts w:asciiTheme="minorHAnsi" w:hAnsiTheme="minorHAnsi" w:cstheme="minorHAnsi"/>
          <w:color w:val="000000"/>
          <w:sz w:val="22"/>
          <w:szCs w:val="22"/>
          <w:lang w:val="es-ES" w:bidi="he-IL"/>
        </w:rPr>
        <w:t> es una asociación gremial que reúne y </w:t>
      </w:r>
      <w:r w:rsidRPr="000A2B8C">
        <w:rPr>
          <w:rFonts w:asciiTheme="minorHAnsi" w:hAnsiTheme="minorHAnsi" w:cstheme="minorHAnsi"/>
          <w:bCs/>
          <w:color w:val="000000"/>
          <w:sz w:val="22"/>
          <w:szCs w:val="22"/>
          <w:lang w:val="es-ES" w:bidi="he-IL"/>
        </w:rPr>
        <w:t>representa a 22 compañías farmacéuticas de innovación</w:t>
      </w:r>
      <w:r w:rsidRPr="000A2B8C">
        <w:rPr>
          <w:rFonts w:asciiTheme="minorHAnsi" w:hAnsiTheme="minorHAnsi" w:cstheme="minorHAnsi"/>
          <w:color w:val="000000"/>
          <w:sz w:val="22"/>
          <w:szCs w:val="22"/>
          <w:lang w:val="es-ES" w:bidi="he-IL"/>
        </w:rPr>
        <w:t>, tanto americanas como europeas con presencia en Chile. Promueve políticas públicas fundamentales para el descubrimiento y desarrollo de medicamentos innovadores y el acceso de los pacientes a medicamentos de calidad, seguros y eficaces. Nuestros asociados están comprometidos con la salud de las personas y para ello trabajan a nivel mundial para</w:t>
      </w:r>
      <w:r w:rsidRPr="00C91BA6">
        <w:rPr>
          <w:rFonts w:asciiTheme="minorHAnsi" w:hAnsiTheme="minorHAnsi" w:cstheme="minorHAnsi"/>
          <w:color w:val="000000"/>
          <w:sz w:val="22"/>
          <w:szCs w:val="22"/>
          <w:lang w:val="es-ES" w:bidi="he-IL"/>
        </w:rPr>
        <w:t xml:space="preserve"> solucionar enfermedades -como cáncer, sida, </w:t>
      </w:r>
      <w:proofErr w:type="spellStart"/>
      <w:r w:rsidRPr="00C91BA6">
        <w:rPr>
          <w:rFonts w:asciiTheme="minorHAnsi" w:hAnsiTheme="minorHAnsi" w:cstheme="minorHAnsi"/>
          <w:color w:val="000000"/>
          <w:sz w:val="22"/>
          <w:szCs w:val="22"/>
          <w:lang w:val="es-ES" w:bidi="he-IL"/>
        </w:rPr>
        <w:t>alzheimer</w:t>
      </w:r>
      <w:proofErr w:type="spellEnd"/>
      <w:r w:rsidRPr="00C91BA6">
        <w:rPr>
          <w:rFonts w:asciiTheme="minorHAnsi" w:hAnsiTheme="minorHAnsi" w:cstheme="minorHAnsi"/>
          <w:color w:val="000000"/>
          <w:sz w:val="22"/>
          <w:szCs w:val="22"/>
          <w:lang w:val="es-ES" w:bidi="he-IL"/>
        </w:rPr>
        <w:t xml:space="preserve">, fibrosis quística y </w:t>
      </w:r>
      <w:proofErr w:type="spellStart"/>
      <w:r w:rsidRPr="00C91BA6">
        <w:rPr>
          <w:rFonts w:asciiTheme="minorHAnsi" w:hAnsiTheme="minorHAnsi" w:cstheme="minorHAnsi"/>
          <w:color w:val="000000"/>
          <w:sz w:val="22"/>
          <w:szCs w:val="22"/>
          <w:lang w:val="es-ES" w:bidi="he-IL"/>
        </w:rPr>
        <w:t>parkinson</w:t>
      </w:r>
      <w:proofErr w:type="spellEnd"/>
      <w:r w:rsidRPr="00C91BA6">
        <w:rPr>
          <w:rFonts w:asciiTheme="minorHAnsi" w:hAnsiTheme="minorHAnsi" w:cstheme="minorHAnsi"/>
          <w:color w:val="000000"/>
          <w:sz w:val="22"/>
          <w:szCs w:val="22"/>
          <w:lang w:val="es-ES" w:bidi="he-IL"/>
        </w:rPr>
        <w:t>, entre otras- además del desarrollo de vacunas y nuevas tecnologías para la detección temprana de enfermedades.</w:t>
      </w:r>
    </w:p>
    <w:p w:rsidR="00C80039" w:rsidRDefault="00C80039" w:rsidP="00E233BC">
      <w:pPr>
        <w:spacing w:after="0"/>
        <w:ind w:left="-284"/>
        <w:rPr>
          <w:rFonts w:asciiTheme="minorHAnsi" w:hAnsiTheme="minorHAnsi" w:cstheme="minorHAnsi"/>
          <w:b/>
          <w:color w:val="222222"/>
          <w:sz w:val="22"/>
          <w:szCs w:val="22"/>
          <w:lang w:val="es-ES"/>
        </w:rPr>
      </w:pPr>
    </w:p>
    <w:p w:rsidR="00C91BA6" w:rsidRPr="000A2B8C" w:rsidRDefault="00C91BA6" w:rsidP="00E233BC">
      <w:pPr>
        <w:spacing w:after="0"/>
        <w:ind w:left="-284"/>
        <w:rPr>
          <w:rFonts w:asciiTheme="minorHAnsi" w:hAnsiTheme="minorHAnsi" w:cstheme="minorHAnsi"/>
          <w:b/>
          <w:color w:val="222222"/>
          <w:sz w:val="22"/>
          <w:szCs w:val="22"/>
          <w:lang w:val="es-ES"/>
        </w:rPr>
      </w:pPr>
      <w:r w:rsidRPr="000A2B8C">
        <w:rPr>
          <w:rFonts w:asciiTheme="minorHAnsi" w:hAnsiTheme="minorHAnsi" w:cstheme="minorHAnsi"/>
          <w:b/>
          <w:color w:val="222222"/>
          <w:sz w:val="22"/>
          <w:szCs w:val="22"/>
          <w:lang w:val="es-ES"/>
        </w:rPr>
        <w:t>Acerca de PhRMA</w:t>
      </w:r>
    </w:p>
    <w:p w:rsidR="00C91BA6" w:rsidRPr="000A2B8C" w:rsidRDefault="00C91BA6" w:rsidP="00E233BC">
      <w:pPr>
        <w:spacing w:after="0"/>
        <w:ind w:left="-284"/>
        <w:rPr>
          <w:rFonts w:asciiTheme="minorHAnsi" w:hAnsiTheme="minorHAnsi" w:cstheme="minorHAnsi"/>
          <w:color w:val="000000"/>
          <w:sz w:val="22"/>
          <w:szCs w:val="22"/>
          <w:lang w:val="es-ES" w:bidi="he-IL"/>
        </w:rPr>
      </w:pPr>
      <w:r w:rsidRPr="000A2B8C">
        <w:rPr>
          <w:rFonts w:asciiTheme="minorHAnsi" w:hAnsiTheme="minorHAnsi" w:cstheme="minorHAnsi"/>
          <w:color w:val="000000"/>
          <w:sz w:val="22"/>
          <w:szCs w:val="22"/>
          <w:lang w:val="es-ES" w:bidi="he-IL"/>
        </w:rPr>
        <w:t>Los investigadores y fabricantes de productos farmacéuticos de América (PhRMA) representan las principales empresas de investigación biofarmacéutica innovadoras del país, que se dedican a descubrir y desarrollar medicamentos que permitan a los pacientes disfrutar vidas más largas, más sanas y más productivas. Desde el año 2000, las compañías miembros de PhRMA han invertido más de $ 600 mil millones en la búsqueda de nuevos tratamientos y curas, incluyendo un estimado de $ 65.5 mil millones solo en 2016.</w:t>
      </w:r>
    </w:p>
    <w:p w:rsidR="00C91BA6" w:rsidRPr="000A2B8C" w:rsidRDefault="00C91BA6" w:rsidP="00E233BC">
      <w:pPr>
        <w:spacing w:after="0"/>
        <w:ind w:left="-284"/>
        <w:rPr>
          <w:rFonts w:asciiTheme="minorHAnsi" w:hAnsiTheme="minorHAnsi" w:cstheme="minorHAnsi"/>
          <w:b/>
          <w:color w:val="222222"/>
          <w:sz w:val="22"/>
          <w:szCs w:val="22"/>
          <w:lang w:val="es-ES"/>
        </w:rPr>
      </w:pPr>
      <w:r w:rsidRPr="000A2B8C">
        <w:rPr>
          <w:rFonts w:asciiTheme="minorHAnsi" w:hAnsiTheme="minorHAnsi" w:cstheme="minorHAnsi"/>
          <w:color w:val="000000"/>
          <w:sz w:val="22"/>
          <w:szCs w:val="22"/>
          <w:lang w:val="es-ES" w:bidi="he-IL"/>
        </w:rPr>
        <w:br/>
      </w:r>
      <w:r w:rsidRPr="000A2B8C">
        <w:rPr>
          <w:rFonts w:asciiTheme="minorHAnsi" w:hAnsiTheme="minorHAnsi" w:cstheme="minorHAnsi"/>
          <w:b/>
          <w:color w:val="222222"/>
          <w:sz w:val="22"/>
          <w:szCs w:val="22"/>
          <w:lang w:val="es-ES"/>
        </w:rPr>
        <w:t>Sobre FIFARMA</w:t>
      </w:r>
    </w:p>
    <w:p w:rsidR="00C91BA6" w:rsidRPr="000A2B8C" w:rsidRDefault="00C91BA6" w:rsidP="00E233BC">
      <w:pPr>
        <w:spacing w:after="0"/>
        <w:ind w:left="-284"/>
        <w:rPr>
          <w:rFonts w:asciiTheme="minorHAnsi" w:hAnsiTheme="minorHAnsi" w:cstheme="minorHAnsi"/>
          <w:color w:val="000000"/>
          <w:sz w:val="22"/>
          <w:szCs w:val="22"/>
          <w:lang w:val="es-ES" w:bidi="he-IL"/>
        </w:rPr>
      </w:pPr>
      <w:r w:rsidRPr="000A2B8C">
        <w:rPr>
          <w:rFonts w:asciiTheme="minorHAnsi" w:hAnsiTheme="minorHAnsi" w:cstheme="minorHAnsi"/>
          <w:color w:val="000000"/>
          <w:sz w:val="22"/>
          <w:szCs w:val="22"/>
          <w:lang w:val="es-ES" w:bidi="he-IL"/>
        </w:rPr>
        <w:t>FIFARMA es la Federación Latinoamericana de la Industria Farmacéutica, una organización regional creada en 1962, que representa a las Compañías Farmacéuticas de Investigación y Desarrollo y las Asociaciones Comerciales locales en toda la región de América Latina. Los miembros de FIFARMA están involucrados en el desarrollo de productos innovadores para el cuidado de la salud y brindan soluciones sanitarias de vanguardia a través de una variedad de productos y servicios destinados a mejorar y salvar las vidas de los pacientes en todo el mundo, colocando la seguridad del paciente como uno de los principales objetivos. En este esfuerzo por mejorar la salud mundial, FIFARMA trabaja estrechamente con organismos intergubernamentales, organizaciones no gubernamentales, autoridades de salud de América Latina y organizaciones de la sociedad civil, entre otros</w:t>
      </w:r>
    </w:p>
    <w:p w:rsidR="00C80039" w:rsidRDefault="00C80039" w:rsidP="00E233BC">
      <w:pPr>
        <w:spacing w:after="0"/>
        <w:rPr>
          <w:rFonts w:asciiTheme="minorHAnsi" w:hAnsiTheme="minorHAnsi" w:cstheme="minorHAnsi"/>
          <w:color w:val="000000"/>
          <w:sz w:val="22"/>
          <w:szCs w:val="22"/>
          <w:lang w:val="es-ES" w:bidi="he-IL"/>
        </w:rPr>
      </w:pPr>
    </w:p>
    <w:p w:rsidR="00C80039" w:rsidRPr="00C80039" w:rsidRDefault="00C80039" w:rsidP="00E233BC">
      <w:pPr>
        <w:spacing w:after="0"/>
        <w:ind w:left="-284"/>
        <w:rPr>
          <w:rFonts w:asciiTheme="minorHAnsi" w:hAnsiTheme="minorHAnsi" w:cstheme="minorHAnsi"/>
          <w:color w:val="000000"/>
          <w:sz w:val="22"/>
          <w:szCs w:val="22"/>
          <w:lang w:val="es-ES" w:bidi="he-IL"/>
        </w:rPr>
      </w:pPr>
      <w:r w:rsidRPr="000A2B8C">
        <w:rPr>
          <w:rFonts w:asciiTheme="minorHAnsi" w:hAnsiTheme="minorHAnsi" w:cstheme="minorHAnsi"/>
          <w:b/>
          <w:color w:val="000000"/>
          <w:sz w:val="22"/>
          <w:szCs w:val="22"/>
          <w:lang w:val="es-ES" w:bidi="he-IL"/>
        </w:rPr>
        <w:t>Sobre Pugatch Consilium</w:t>
      </w:r>
    </w:p>
    <w:p w:rsidR="00C80039" w:rsidRDefault="00C80039" w:rsidP="00E233BC">
      <w:pPr>
        <w:spacing w:after="0"/>
        <w:ind w:left="-284"/>
        <w:rPr>
          <w:rFonts w:asciiTheme="minorHAnsi" w:hAnsiTheme="minorHAnsi" w:cstheme="minorHAnsi"/>
          <w:color w:val="000000"/>
          <w:sz w:val="22"/>
          <w:szCs w:val="22"/>
          <w:lang w:val="es-ES" w:bidi="he-IL"/>
        </w:rPr>
      </w:pPr>
      <w:proofErr w:type="spellStart"/>
      <w:r w:rsidRPr="000A2B8C">
        <w:rPr>
          <w:rFonts w:asciiTheme="minorHAnsi" w:hAnsiTheme="minorHAnsi" w:cstheme="minorHAnsi"/>
          <w:color w:val="000000"/>
          <w:sz w:val="22"/>
          <w:szCs w:val="22"/>
          <w:lang w:val="es-ES" w:bidi="he-IL"/>
        </w:rPr>
        <w:t>Pugatch</w:t>
      </w:r>
      <w:proofErr w:type="spellEnd"/>
      <w:r w:rsidRPr="000A2B8C">
        <w:rPr>
          <w:rFonts w:asciiTheme="minorHAnsi" w:hAnsiTheme="minorHAnsi" w:cstheme="minorHAnsi"/>
          <w:color w:val="000000"/>
          <w:sz w:val="22"/>
          <w:szCs w:val="22"/>
          <w:lang w:val="es-ES" w:bidi="he-IL"/>
        </w:rPr>
        <w:t xml:space="preserve"> </w:t>
      </w:r>
      <w:proofErr w:type="spellStart"/>
      <w:r w:rsidRPr="000A2B8C">
        <w:rPr>
          <w:rFonts w:asciiTheme="minorHAnsi" w:hAnsiTheme="minorHAnsi" w:cstheme="minorHAnsi"/>
          <w:color w:val="000000"/>
          <w:sz w:val="22"/>
          <w:szCs w:val="22"/>
          <w:lang w:val="es-ES" w:bidi="he-IL"/>
        </w:rPr>
        <w:t>Consilium</w:t>
      </w:r>
      <w:proofErr w:type="spellEnd"/>
      <w:r w:rsidRPr="000A2B8C">
        <w:rPr>
          <w:rFonts w:asciiTheme="minorHAnsi" w:hAnsiTheme="minorHAnsi" w:cstheme="minorHAnsi"/>
          <w:color w:val="000000"/>
          <w:sz w:val="22"/>
          <w:szCs w:val="22"/>
          <w:lang w:val="es-ES" w:bidi="he-IL"/>
        </w:rPr>
        <w:t xml:space="preserve"> (</w:t>
      </w:r>
      <w:hyperlink r:id="rId11" w:history="1">
        <w:r w:rsidRPr="000A2B8C">
          <w:rPr>
            <w:rFonts w:asciiTheme="minorHAnsi" w:hAnsiTheme="minorHAnsi" w:cstheme="minorHAnsi"/>
            <w:color w:val="000000"/>
            <w:sz w:val="22"/>
            <w:szCs w:val="22"/>
            <w:lang w:val="es-CL"/>
          </w:rPr>
          <w:t>www.pugatch-consilium.com</w:t>
        </w:r>
      </w:hyperlink>
      <w:r w:rsidRPr="000A2B8C">
        <w:rPr>
          <w:rFonts w:asciiTheme="minorHAnsi" w:hAnsiTheme="minorHAnsi" w:cstheme="minorHAnsi"/>
          <w:color w:val="000000"/>
          <w:sz w:val="22"/>
          <w:szCs w:val="22"/>
          <w:lang w:val="es-ES" w:bidi="he-IL"/>
        </w:rPr>
        <w:t>) es una firma de consultoría boutique especializada en estudios basados en evidencia del mundo real (real-</w:t>
      </w:r>
      <w:proofErr w:type="spellStart"/>
      <w:r w:rsidRPr="000A2B8C">
        <w:rPr>
          <w:rFonts w:asciiTheme="minorHAnsi" w:hAnsiTheme="minorHAnsi" w:cstheme="minorHAnsi"/>
          <w:color w:val="000000"/>
          <w:sz w:val="22"/>
          <w:szCs w:val="22"/>
          <w:lang w:val="es-ES" w:bidi="he-IL"/>
        </w:rPr>
        <w:t>world</w:t>
      </w:r>
      <w:proofErr w:type="spellEnd"/>
      <w:r w:rsidRPr="000A2B8C">
        <w:rPr>
          <w:rFonts w:asciiTheme="minorHAnsi" w:hAnsiTheme="minorHAnsi" w:cstheme="minorHAnsi"/>
          <w:color w:val="000000"/>
          <w:sz w:val="22"/>
          <w:szCs w:val="22"/>
          <w:lang w:val="es-ES" w:bidi="he-IL"/>
        </w:rPr>
        <w:t xml:space="preserve"> </w:t>
      </w:r>
      <w:proofErr w:type="spellStart"/>
      <w:r w:rsidRPr="000A2B8C">
        <w:rPr>
          <w:rFonts w:asciiTheme="minorHAnsi" w:hAnsiTheme="minorHAnsi" w:cstheme="minorHAnsi"/>
          <w:color w:val="000000"/>
          <w:sz w:val="22"/>
          <w:szCs w:val="22"/>
          <w:lang w:val="es-ES" w:bidi="he-IL"/>
        </w:rPr>
        <w:t>evidence</w:t>
      </w:r>
      <w:proofErr w:type="spellEnd"/>
      <w:r w:rsidRPr="000A2B8C">
        <w:rPr>
          <w:rFonts w:asciiTheme="minorHAnsi" w:hAnsiTheme="minorHAnsi" w:cstheme="minorHAnsi"/>
          <w:color w:val="000000"/>
          <w:sz w:val="22"/>
          <w:szCs w:val="22"/>
          <w:lang w:val="es-ES" w:bidi="he-IL"/>
        </w:rPr>
        <w:t xml:space="preserve">), análisis e inteligencia en los sectores de mayor crecimiento de economías basadas en ciencia y tecnología.  Se enfocan en innovación, creación y protección de propiedad intelectual, transferencia de tecnología y acceso a mercado.  Pugatch Consilium traduce análisis empíricos en propuestas concretas de acción. </w:t>
      </w:r>
    </w:p>
    <w:p w:rsidR="00834A01" w:rsidRPr="000A2B8C" w:rsidRDefault="00834A01" w:rsidP="00E233BC">
      <w:pPr>
        <w:spacing w:after="0"/>
        <w:ind w:left="-284"/>
        <w:rPr>
          <w:rFonts w:asciiTheme="minorHAnsi" w:hAnsiTheme="minorHAnsi" w:cstheme="minorHAnsi"/>
          <w:color w:val="000000"/>
          <w:sz w:val="22"/>
          <w:szCs w:val="22"/>
          <w:lang w:val="es-ES" w:bidi="he-IL"/>
        </w:rPr>
      </w:pPr>
    </w:p>
    <w:p w:rsidR="00834A01" w:rsidRDefault="00834A01" w:rsidP="00834A01">
      <w:pPr>
        <w:pStyle w:val="Sinespaciado"/>
        <w:spacing w:line="276" w:lineRule="auto"/>
        <w:jc w:val="both"/>
        <w:rPr>
          <w:rFonts w:eastAsia="Calibri" w:cstheme="minorHAnsi"/>
          <w:color w:val="000000"/>
          <w:lang w:val="es-ES" w:bidi="he-IL"/>
        </w:rPr>
      </w:pPr>
    </w:p>
    <w:p w:rsidR="00834A01" w:rsidRPr="00490094" w:rsidRDefault="001D7909" w:rsidP="00834A01">
      <w:pPr>
        <w:pStyle w:val="Sinespaciado"/>
        <w:spacing w:line="276" w:lineRule="auto"/>
        <w:jc w:val="both"/>
        <w:rPr>
          <w:lang w:val="es-CL"/>
        </w:rPr>
      </w:pPr>
      <w:hyperlink r:id="rId12" w:history="1">
        <w:r w:rsidR="00834A01" w:rsidRPr="0048412C">
          <w:rPr>
            <w:rStyle w:val="Hipervnculo"/>
            <w:lang w:val="es-CL"/>
          </w:rPr>
          <w:t>Descarga el informe BCI</w:t>
        </w:r>
        <w:r w:rsidR="00834A01" w:rsidRPr="0048412C">
          <w:rPr>
            <w:rStyle w:val="Hipervnculo"/>
            <w:lang w:val="es-CL"/>
          </w:rPr>
          <w:tab/>
          <w:t>2017</w:t>
        </w:r>
      </w:hyperlink>
      <w:r w:rsidR="00834A01" w:rsidRPr="00490094">
        <w:rPr>
          <w:lang w:val="es-CL"/>
        </w:rPr>
        <w:tab/>
      </w:r>
      <w:r w:rsidR="00834A01" w:rsidRPr="00490094">
        <w:rPr>
          <w:lang w:val="es-CL"/>
        </w:rPr>
        <w:tab/>
      </w:r>
      <w:r w:rsidR="00834A01" w:rsidRPr="00490094">
        <w:rPr>
          <w:lang w:val="es-CL"/>
        </w:rPr>
        <w:tab/>
      </w:r>
      <w:hyperlink r:id="rId13" w:history="1">
        <w:r w:rsidR="00834A01" w:rsidRPr="008A76F0">
          <w:rPr>
            <w:rStyle w:val="Hipervnculo"/>
            <w:lang w:val="es-CL"/>
          </w:rPr>
          <w:t>Descarga el informe especial sobre América Latina</w:t>
        </w:r>
      </w:hyperlink>
    </w:p>
    <w:p w:rsidR="00C91BA6" w:rsidRPr="00C91BA6" w:rsidRDefault="00C91BA6" w:rsidP="00E233BC">
      <w:pPr>
        <w:spacing w:line="276" w:lineRule="auto"/>
        <w:rPr>
          <w:rFonts w:asciiTheme="minorHAnsi" w:hAnsiTheme="minorHAnsi" w:cstheme="minorHAnsi"/>
          <w:color w:val="000000"/>
          <w:sz w:val="22"/>
          <w:szCs w:val="22"/>
          <w:lang w:val="es-ES" w:bidi="he-IL"/>
        </w:rPr>
      </w:pPr>
    </w:p>
    <w:sectPr w:rsidR="00C91BA6" w:rsidRPr="00C91BA6" w:rsidSect="000517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87E95"/>
    <w:multiLevelType w:val="hybridMultilevel"/>
    <w:tmpl w:val="F02ECE68"/>
    <w:lvl w:ilvl="0" w:tplc="CD9C6354">
      <w:numFmt w:val="bullet"/>
      <w:lvlText w:val=""/>
      <w:lvlJc w:val="left"/>
      <w:pPr>
        <w:ind w:left="720" w:hanging="360"/>
      </w:pPr>
      <w:rPr>
        <w:rFonts w:ascii="Symbol" w:eastAsia="Calibr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33"/>
    <w:rsid w:val="000517CF"/>
    <w:rsid w:val="000A2B8C"/>
    <w:rsid w:val="00122DC2"/>
    <w:rsid w:val="00163129"/>
    <w:rsid w:val="001D7909"/>
    <w:rsid w:val="00220056"/>
    <w:rsid w:val="00293E01"/>
    <w:rsid w:val="002F2537"/>
    <w:rsid w:val="00385400"/>
    <w:rsid w:val="005401D0"/>
    <w:rsid w:val="00752302"/>
    <w:rsid w:val="00756007"/>
    <w:rsid w:val="00785B5D"/>
    <w:rsid w:val="00834A01"/>
    <w:rsid w:val="00867433"/>
    <w:rsid w:val="008B73F9"/>
    <w:rsid w:val="008F25B3"/>
    <w:rsid w:val="00A64D5C"/>
    <w:rsid w:val="00B61645"/>
    <w:rsid w:val="00B72479"/>
    <w:rsid w:val="00B86DCE"/>
    <w:rsid w:val="00C80039"/>
    <w:rsid w:val="00C91BA6"/>
    <w:rsid w:val="00D15753"/>
    <w:rsid w:val="00D60101"/>
    <w:rsid w:val="00E233BC"/>
    <w:rsid w:val="00E7357A"/>
    <w:rsid w:val="00EA025A"/>
    <w:rsid w:val="00EF381E"/>
    <w:rsid w:val="00FA0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433"/>
    <w:pPr>
      <w:spacing w:after="200" w:line="240" w:lineRule="auto"/>
      <w:jc w:val="both"/>
    </w:pPr>
    <w:rPr>
      <w:rFonts w:ascii="Times New Roman" w:eastAsia="Calibri"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7433"/>
    <w:pPr>
      <w:ind w:left="720"/>
      <w:contextualSpacing/>
    </w:pPr>
  </w:style>
  <w:style w:type="paragraph" w:styleId="Sinespaciado">
    <w:name w:val="No Spacing"/>
    <w:uiPriority w:val="1"/>
    <w:qFormat/>
    <w:rsid w:val="00867433"/>
    <w:pPr>
      <w:spacing w:after="0" w:line="240" w:lineRule="auto"/>
    </w:pPr>
    <w:rPr>
      <w:lang w:val="en-US"/>
    </w:rPr>
  </w:style>
  <w:style w:type="paragraph" w:styleId="NormalWeb">
    <w:name w:val="Normal (Web)"/>
    <w:basedOn w:val="Normal"/>
    <w:uiPriority w:val="99"/>
    <w:semiHidden/>
    <w:unhideWhenUsed/>
    <w:rsid w:val="00C91BA6"/>
    <w:pPr>
      <w:spacing w:before="100" w:beforeAutospacing="1" w:after="100" w:afterAutospacing="1"/>
      <w:jc w:val="left"/>
    </w:pPr>
    <w:rPr>
      <w:rFonts w:eastAsia="Times New Roman"/>
      <w:lang w:val="es-CL" w:eastAsia="es-CL"/>
    </w:rPr>
  </w:style>
  <w:style w:type="character" w:styleId="Textoennegrita">
    <w:name w:val="Strong"/>
    <w:basedOn w:val="Fuentedeprrafopredeter"/>
    <w:uiPriority w:val="22"/>
    <w:qFormat/>
    <w:rsid w:val="00C91BA6"/>
    <w:rPr>
      <w:b/>
      <w:bCs/>
    </w:rPr>
  </w:style>
  <w:style w:type="character" w:styleId="Hipervnculo">
    <w:name w:val="Hyperlink"/>
    <w:basedOn w:val="Fuentedeprrafopredeter"/>
    <w:uiPriority w:val="99"/>
    <w:rsid w:val="00C91BA6"/>
    <w:rPr>
      <w:rFonts w:cs="Times New Roman"/>
      <w:color w:val="0000FF"/>
      <w:u w:val="single"/>
    </w:rPr>
  </w:style>
  <w:style w:type="character" w:customStyle="1" w:styleId="Mencinsinresolver1">
    <w:name w:val="Mención sin resolver1"/>
    <w:basedOn w:val="Fuentedeprrafopredeter"/>
    <w:uiPriority w:val="99"/>
    <w:semiHidden/>
    <w:unhideWhenUsed/>
    <w:rsid w:val="00C91BA6"/>
    <w:rPr>
      <w:color w:val="808080"/>
      <w:shd w:val="clear" w:color="auto" w:fill="E6E6E6"/>
    </w:rPr>
  </w:style>
  <w:style w:type="paragraph" w:styleId="Textodeglobo">
    <w:name w:val="Balloon Text"/>
    <w:basedOn w:val="Normal"/>
    <w:link w:val="TextodegloboCar"/>
    <w:uiPriority w:val="99"/>
    <w:semiHidden/>
    <w:unhideWhenUsed/>
    <w:rsid w:val="008F25B3"/>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F25B3"/>
    <w:rPr>
      <w:rFonts w:ascii="Lucida Grande" w:eastAsia="Calibri" w:hAnsi="Lucida Grande" w:cs="Times New Roman"/>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433"/>
    <w:pPr>
      <w:spacing w:after="200" w:line="240" w:lineRule="auto"/>
      <w:jc w:val="both"/>
    </w:pPr>
    <w:rPr>
      <w:rFonts w:ascii="Times New Roman" w:eastAsia="Calibri"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7433"/>
    <w:pPr>
      <w:ind w:left="720"/>
      <w:contextualSpacing/>
    </w:pPr>
  </w:style>
  <w:style w:type="paragraph" w:styleId="Sinespaciado">
    <w:name w:val="No Spacing"/>
    <w:uiPriority w:val="1"/>
    <w:qFormat/>
    <w:rsid w:val="00867433"/>
    <w:pPr>
      <w:spacing w:after="0" w:line="240" w:lineRule="auto"/>
    </w:pPr>
    <w:rPr>
      <w:lang w:val="en-US"/>
    </w:rPr>
  </w:style>
  <w:style w:type="paragraph" w:styleId="NormalWeb">
    <w:name w:val="Normal (Web)"/>
    <w:basedOn w:val="Normal"/>
    <w:uiPriority w:val="99"/>
    <w:semiHidden/>
    <w:unhideWhenUsed/>
    <w:rsid w:val="00C91BA6"/>
    <w:pPr>
      <w:spacing w:before="100" w:beforeAutospacing="1" w:after="100" w:afterAutospacing="1"/>
      <w:jc w:val="left"/>
    </w:pPr>
    <w:rPr>
      <w:rFonts w:eastAsia="Times New Roman"/>
      <w:lang w:val="es-CL" w:eastAsia="es-CL"/>
    </w:rPr>
  </w:style>
  <w:style w:type="character" w:styleId="Textoennegrita">
    <w:name w:val="Strong"/>
    <w:basedOn w:val="Fuentedeprrafopredeter"/>
    <w:uiPriority w:val="22"/>
    <w:qFormat/>
    <w:rsid w:val="00C91BA6"/>
    <w:rPr>
      <w:b/>
      <w:bCs/>
    </w:rPr>
  </w:style>
  <w:style w:type="character" w:styleId="Hipervnculo">
    <w:name w:val="Hyperlink"/>
    <w:basedOn w:val="Fuentedeprrafopredeter"/>
    <w:uiPriority w:val="99"/>
    <w:rsid w:val="00C91BA6"/>
    <w:rPr>
      <w:rFonts w:cs="Times New Roman"/>
      <w:color w:val="0000FF"/>
      <w:u w:val="single"/>
    </w:rPr>
  </w:style>
  <w:style w:type="character" w:customStyle="1" w:styleId="Mencinsinresolver1">
    <w:name w:val="Mención sin resolver1"/>
    <w:basedOn w:val="Fuentedeprrafopredeter"/>
    <w:uiPriority w:val="99"/>
    <w:semiHidden/>
    <w:unhideWhenUsed/>
    <w:rsid w:val="00C91BA6"/>
    <w:rPr>
      <w:color w:val="808080"/>
      <w:shd w:val="clear" w:color="auto" w:fill="E6E6E6"/>
    </w:rPr>
  </w:style>
  <w:style w:type="paragraph" w:styleId="Textodeglobo">
    <w:name w:val="Balloon Text"/>
    <w:basedOn w:val="Normal"/>
    <w:link w:val="TextodegloboCar"/>
    <w:uiPriority w:val="99"/>
    <w:semiHidden/>
    <w:unhideWhenUsed/>
    <w:rsid w:val="008F25B3"/>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F25B3"/>
    <w:rPr>
      <w:rFonts w:ascii="Lucida Grande" w:eastAsia="Calibri" w:hAnsi="Lucida Grande"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ifchile.cl/download/encuesta-de-competitividad-e-inversion-farmaceutica-bci-2017-america-latina/"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cifchile.cl/download/biopharmaceutical-competitiveness-investment-bci-survey-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pugatch-consili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farma.com" TargetMode="External"/><Relationship Id="rId4" Type="http://schemas.openxmlformats.org/officeDocument/2006/relationships/settings" Target="settings.xml"/><Relationship Id="rId9" Type="http://schemas.openxmlformats.org/officeDocument/2006/relationships/hyperlink" Target="http://www.cifchile.c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1509</Words>
  <Characters>8303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Macarena San Martín</dc:creator>
  <cp:lastModifiedBy>usuario</cp:lastModifiedBy>
  <cp:revision>2</cp:revision>
  <dcterms:created xsi:type="dcterms:W3CDTF">2018-06-07T16:09:00Z</dcterms:created>
  <dcterms:modified xsi:type="dcterms:W3CDTF">2018-06-07T16:09:00Z</dcterms:modified>
</cp:coreProperties>
</file>